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KSZK Alumni civil társaság Adatkezelési tájékoztatója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>A KSZK Alumni civil társaság (székhely: 1117 Budapest, Irinyi József utca 42., a továbbiakban: „Társaság”) a jelen Adatkezelési tájékoztató (a továbbiakban: „Tájékoztató”) megalkotásával és elérhetővé tételével biztosítani kívánja az Európai Parlament és a Tanács (EU) 2016/679 számú általános adatvédelmi rendeletben (a továbbiakban: „GDPR”), valamint az információs önrendelkezési jogról és az információszabadságról szóló 2011. évi CXII. törvényben (a továbbiakban: „Infotv.”) meghatározott érintetti tájékoztatáshoz való jog megvalósulását.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Fogalommeghatározások</w:t>
      </w:r>
    </w:p>
    <w:p>
      <w:pPr>
        <w:pStyle w:val="Normal"/>
        <w:spacing w:before="0" w:after="0"/>
        <w:jc w:val="both"/>
        <w:rPr>
          <w:lang w:val="hu-HU"/>
        </w:rPr>
      </w:pPr>
      <w:r>
        <w:rPr>
          <w:lang w:val="hu-HU"/>
        </w:rPr>
        <w:t>A Tájékoztató a GDPR által használt fogalmakon alapszik. A Tájékoztató úgy készült, hogy az a nyilvánosság, valamint az érintett személyek számára is egyszerűen olvasható és érthető. Ezt szolgálják az alábbi fogalommeghatározások:</w:t>
      </w:r>
    </w:p>
    <w:p>
      <w:pPr>
        <w:pStyle w:val="Normal"/>
        <w:spacing w:before="0" w:after="0"/>
        <w:ind w:hanging="142" w:start="284"/>
        <w:jc w:val="both"/>
        <w:rPr>
          <w:lang w:val="hu-HU"/>
        </w:rPr>
      </w:pPr>
      <w:r>
        <w:rPr>
          <w:lang w:val="hu-HU"/>
        </w:rPr>
        <w:t xml:space="preserve">a)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(a GDPR szerint): </w:t>
      </w:r>
      <w:r>
        <w:rPr>
          <w:rFonts w:cs="Calibri"/>
          <w:lang w:val="hu-HU"/>
        </w:rPr>
        <w:t>„</w:t>
      </w:r>
      <w:r>
        <w:rPr>
          <w:lang w:val="hu-HU"/>
        </w:rPr>
        <w:t>minden olyan inform</w:t>
      </w:r>
      <w:r>
        <w:rPr>
          <w:rFonts w:cs="Calibri"/>
          <w:lang w:val="hu-HU"/>
        </w:rPr>
        <w:t>á</w:t>
      </w:r>
      <w:r>
        <w:rPr>
          <w:lang w:val="hu-HU"/>
        </w:rPr>
        <w:t>ci</w:t>
      </w:r>
      <w:r>
        <w:rPr>
          <w:rFonts w:cs="Calibri"/>
          <w:lang w:val="hu-HU"/>
        </w:rPr>
        <w:t>ó</w:t>
      </w:r>
      <w:r>
        <w:rPr>
          <w:lang w:val="hu-HU"/>
        </w:rPr>
        <w:t>, amelyek egy azonos</w:t>
      </w:r>
      <w:r>
        <w:rPr>
          <w:rFonts w:cs="Calibri"/>
          <w:lang w:val="hu-HU"/>
        </w:rPr>
        <w:t>í</w:t>
      </w:r>
      <w:r>
        <w:rPr>
          <w:lang w:val="hu-HU"/>
        </w:rPr>
        <w:t>tott vagy azonos</w:t>
      </w:r>
      <w:r>
        <w:rPr>
          <w:rFonts w:cs="Calibri"/>
          <w:lang w:val="hu-HU"/>
        </w:rPr>
        <w:t>í</w:t>
      </w:r>
      <w:r>
        <w:rPr>
          <w:lang w:val="hu-HU"/>
        </w:rPr>
        <w:t>that</w:t>
      </w:r>
      <w:r>
        <w:rPr>
          <w:rFonts w:cs="Calibri"/>
          <w:lang w:val="hu-HU"/>
        </w:rPr>
        <w:t>ó</w:t>
      </w:r>
      <w:r>
        <w:rPr>
          <w:lang w:val="hu-HU"/>
        </w:rPr>
        <w:t xml:space="preserve"> </w:t>
      </w:r>
      <w:r>
        <w:rPr>
          <w:i/>
          <w:iCs/>
          <w:lang w:val="hu-HU"/>
        </w:rPr>
        <w:t>Érintett szem</w:t>
      </w:r>
      <w:r>
        <w:rPr>
          <w:rFonts w:cs="Calibri"/>
          <w:i/>
          <w:iCs/>
          <w:lang w:val="hu-HU"/>
        </w:rPr>
        <w:t>é</w:t>
      </w:r>
      <w:r>
        <w:rPr>
          <w:i/>
          <w:iCs/>
          <w:lang w:val="hu-HU"/>
        </w:rPr>
        <w:t>ly</w:t>
      </w:r>
      <w:r>
        <w:rPr>
          <w:lang w:val="hu-HU"/>
        </w:rPr>
        <w:t>re vonatkoznak</w:t>
      </w:r>
      <w:r>
        <w:rPr>
          <w:rFonts w:cs="Calibri"/>
          <w:lang w:val="hu-HU"/>
        </w:rPr>
        <w:t>”</w:t>
      </w:r>
      <w:r>
        <w:rPr>
          <w:lang w:val="hu-HU"/>
        </w:rPr>
        <w:t>. Azonos</w:t>
      </w:r>
      <w:r>
        <w:rPr>
          <w:rFonts w:cs="Calibri"/>
          <w:lang w:val="hu-HU"/>
        </w:rPr>
        <w:t>í</w:t>
      </w:r>
      <w:r>
        <w:rPr>
          <w:lang w:val="hu-HU"/>
        </w:rPr>
        <w:t>that</w:t>
      </w:r>
      <w:r>
        <w:rPr>
          <w:rFonts w:cs="Calibri"/>
          <w:lang w:val="hu-HU"/>
        </w:rPr>
        <w:t>ó</w:t>
      </w:r>
      <w:r>
        <w:rPr>
          <w:lang w:val="hu-HU"/>
        </w:rPr>
        <w:t>nak egy olyan term</w:t>
      </w:r>
      <w:r>
        <w:rPr>
          <w:rFonts w:cs="Calibri"/>
          <w:lang w:val="hu-HU"/>
        </w:rPr>
        <w:t>é</w:t>
      </w:r>
      <w:r>
        <w:rPr>
          <w:lang w:val="hu-HU"/>
        </w:rPr>
        <w:t>szetes szem</w:t>
      </w:r>
      <w:r>
        <w:rPr>
          <w:rFonts w:cs="Calibri"/>
          <w:lang w:val="hu-HU"/>
        </w:rPr>
        <w:t>é</w:t>
      </w:r>
      <w:r>
        <w:rPr>
          <w:lang w:val="hu-HU"/>
        </w:rPr>
        <w:t>lyt tekint</w:t>
      </w:r>
      <w:r>
        <w:rPr>
          <w:rFonts w:cs="Calibri"/>
          <w:lang w:val="hu-HU"/>
        </w:rPr>
        <w:t>ü</w:t>
      </w:r>
      <w:r>
        <w:rPr>
          <w:lang w:val="hu-HU"/>
        </w:rPr>
        <w:t>nk, aki k</w:t>
      </w:r>
      <w:r>
        <w:rPr>
          <w:rFonts w:cs="Calibri"/>
          <w:lang w:val="hu-HU"/>
        </w:rPr>
        <w:t>ö</w:t>
      </w:r>
      <w:r>
        <w:rPr>
          <w:lang w:val="hu-HU"/>
        </w:rPr>
        <w:t>zvetlen</w:t>
      </w:r>
      <w:r>
        <w:rPr>
          <w:rFonts w:cs="Calibri"/>
          <w:lang w:val="hu-HU"/>
        </w:rPr>
        <w:t>ü</w:t>
      </w:r>
      <w:r>
        <w:rPr>
          <w:lang w:val="hu-HU"/>
        </w:rPr>
        <w:t>l vagy k</w:t>
      </w:r>
      <w:r>
        <w:rPr>
          <w:rFonts w:cs="Calibri"/>
          <w:lang w:val="hu-HU"/>
        </w:rPr>
        <w:t>ö</w:t>
      </w:r>
      <w:r>
        <w:rPr>
          <w:lang w:val="hu-HU"/>
        </w:rPr>
        <w:t>zvetett m</w:t>
      </w:r>
      <w:r>
        <w:rPr>
          <w:rFonts w:cs="Calibri"/>
          <w:lang w:val="hu-HU"/>
        </w:rPr>
        <w:t>ó</w:t>
      </w:r>
      <w:r>
        <w:rPr>
          <w:lang w:val="hu-HU"/>
        </w:rPr>
        <w:t>don, els</w:t>
      </w:r>
      <w:r>
        <w:rPr>
          <w:rFonts w:cs="Calibri"/>
          <w:lang w:val="hu-HU"/>
        </w:rPr>
        <w:t>ő</w:t>
      </w:r>
      <w:r>
        <w:rPr>
          <w:lang w:val="hu-HU"/>
        </w:rPr>
        <w:t>sorban egy azonos</w:t>
      </w:r>
      <w:r>
        <w:rPr>
          <w:rFonts w:cs="Calibri"/>
          <w:lang w:val="hu-HU"/>
        </w:rPr>
        <w:t>í</w:t>
      </w:r>
      <w:r>
        <w:rPr>
          <w:lang w:val="hu-HU"/>
        </w:rPr>
        <w:t>t</w:t>
      </w:r>
      <w:r>
        <w:rPr>
          <w:rFonts w:cs="Calibri"/>
          <w:lang w:val="hu-HU"/>
        </w:rPr>
        <w:t>ó</w:t>
      </w:r>
      <w:r>
        <w:rPr>
          <w:lang w:val="hu-HU"/>
        </w:rPr>
        <w:t>hoz, pl. egy n</w:t>
      </w:r>
      <w:r>
        <w:rPr>
          <w:rFonts w:cs="Calibri"/>
          <w:lang w:val="hu-HU"/>
        </w:rPr>
        <w:t>é</w:t>
      </w:r>
      <w:r>
        <w:rPr>
          <w:lang w:val="hu-HU"/>
        </w:rPr>
        <w:t>vhez, azonos</w:t>
      </w:r>
      <w:r>
        <w:rPr>
          <w:rFonts w:cs="Calibri"/>
          <w:lang w:val="hu-HU"/>
        </w:rPr>
        <w:t>í</w:t>
      </w:r>
      <w:r>
        <w:rPr>
          <w:lang w:val="hu-HU"/>
        </w:rPr>
        <w:t>t</w:t>
      </w:r>
      <w:r>
        <w:rPr>
          <w:rFonts w:cs="Calibri"/>
          <w:lang w:val="hu-HU"/>
        </w:rPr>
        <w:t>ó</w:t>
      </w:r>
      <w:r>
        <w:rPr>
          <w:lang w:val="hu-HU"/>
        </w:rPr>
        <w:t>sz</w:t>
      </w:r>
      <w:r>
        <w:rPr>
          <w:rFonts w:cs="Calibri"/>
          <w:lang w:val="hu-HU"/>
        </w:rPr>
        <w:t>á</w:t>
      </w:r>
      <w:r>
        <w:rPr>
          <w:lang w:val="hu-HU"/>
        </w:rPr>
        <w:t>mhoz, telephely adatokhoz, online-azonos</w:t>
      </w:r>
      <w:r>
        <w:rPr>
          <w:rFonts w:cs="Calibri"/>
          <w:lang w:val="hu-HU"/>
        </w:rPr>
        <w:t>í</w:t>
      </w:r>
      <w:r>
        <w:rPr>
          <w:lang w:val="hu-HU"/>
        </w:rPr>
        <w:t>t</w:t>
      </w:r>
      <w:r>
        <w:rPr>
          <w:rFonts w:cs="Calibri"/>
          <w:lang w:val="hu-HU"/>
        </w:rPr>
        <w:t>ó</w:t>
      </w:r>
      <w:r>
        <w:rPr>
          <w:lang w:val="hu-HU"/>
        </w:rPr>
        <w:t>hoz vagy egy, illetve t</w:t>
      </w:r>
      <w:r>
        <w:rPr>
          <w:rFonts w:cs="Calibri"/>
          <w:lang w:val="hu-HU"/>
        </w:rPr>
        <w:t>ö</w:t>
      </w:r>
      <w:r>
        <w:rPr>
          <w:lang w:val="hu-HU"/>
        </w:rPr>
        <w:t>bb olyan k</w:t>
      </w:r>
      <w:r>
        <w:rPr>
          <w:rFonts w:cs="Calibri"/>
          <w:lang w:val="hu-HU"/>
        </w:rPr>
        <w:t>ü</w:t>
      </w:r>
      <w:r>
        <w:rPr>
          <w:lang w:val="hu-HU"/>
        </w:rPr>
        <w:t>l</w:t>
      </w:r>
      <w:r>
        <w:rPr>
          <w:rFonts w:cs="Calibri"/>
          <w:lang w:val="hu-HU"/>
        </w:rPr>
        <w:t>ö</w:t>
      </w:r>
      <w:r>
        <w:rPr>
          <w:lang w:val="hu-HU"/>
        </w:rPr>
        <w:t>nleges tulajdons</w:t>
      </w:r>
      <w:r>
        <w:rPr>
          <w:rFonts w:cs="Calibri"/>
          <w:lang w:val="hu-HU"/>
        </w:rPr>
        <w:t>á</w:t>
      </w:r>
      <w:r>
        <w:rPr>
          <w:lang w:val="hu-HU"/>
        </w:rPr>
        <w:t>ghoz val</w:t>
      </w:r>
      <w:r>
        <w:rPr>
          <w:rFonts w:cs="Calibri"/>
          <w:lang w:val="hu-HU"/>
        </w:rPr>
        <w:t>ó</w:t>
      </w:r>
      <w:r>
        <w:rPr>
          <w:lang w:val="hu-HU"/>
        </w:rPr>
        <w:t xml:space="preserve"> hozz</w:t>
      </w:r>
      <w:r>
        <w:rPr>
          <w:rFonts w:cs="Calibri"/>
          <w:lang w:val="hu-HU"/>
        </w:rPr>
        <w:t>á</w:t>
      </w:r>
      <w:r>
        <w:rPr>
          <w:lang w:val="hu-HU"/>
        </w:rPr>
        <w:t>rendel</w:t>
      </w:r>
      <w:r>
        <w:rPr>
          <w:rFonts w:cs="Calibri"/>
          <w:lang w:val="hu-HU"/>
        </w:rPr>
        <w:t>é</w:t>
      </w:r>
      <w:r>
        <w:rPr>
          <w:lang w:val="hu-HU"/>
        </w:rPr>
        <w:t>ssel, amelyek ezen term</w:t>
      </w:r>
      <w:r>
        <w:rPr>
          <w:rFonts w:cs="Calibri"/>
          <w:lang w:val="hu-HU"/>
        </w:rPr>
        <w:t>é</w:t>
      </w:r>
      <w:r>
        <w:rPr>
          <w:lang w:val="hu-HU"/>
        </w:rPr>
        <w:t>szetes szem</w:t>
      </w:r>
      <w:r>
        <w:rPr>
          <w:rFonts w:cs="Calibri"/>
          <w:lang w:val="hu-HU"/>
        </w:rPr>
        <w:t>é</w:t>
      </w:r>
      <w:r>
        <w:rPr>
          <w:lang w:val="hu-HU"/>
        </w:rPr>
        <w:t>ly fizikai, fiziológiai, genetikai, pszichikai, gazdasági, kulturális vagy társadalmi identitását fejezik ki, azonosítható.</w:t>
      </w:r>
    </w:p>
    <w:p>
      <w:pPr>
        <w:pStyle w:val="Normal"/>
        <w:spacing w:before="0" w:after="0"/>
        <w:ind w:hanging="142" w:start="284"/>
        <w:jc w:val="both"/>
        <w:rPr>
          <w:lang w:val="hu-HU"/>
        </w:rPr>
      </w:pPr>
      <w:r>
        <w:rPr>
          <w:lang w:val="hu-HU"/>
        </w:rPr>
        <w:t xml:space="preserve">b)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: minden olyan azonosított vagy azonosítható természetes személy, akinek személyes adatait </w:t>
      </w:r>
      <w:r>
        <w:rPr>
          <w:i/>
          <w:iCs/>
          <w:lang w:val="hu-HU"/>
        </w:rPr>
        <w:t>Adatfeldolgozó</w:t>
      </w:r>
      <w:r>
        <w:rPr>
          <w:lang w:val="hu-HU"/>
        </w:rPr>
        <w:t xml:space="preserve"> dolgozza fel.</w:t>
      </w:r>
    </w:p>
    <w:p>
      <w:pPr>
        <w:pStyle w:val="Normal"/>
        <w:spacing w:before="0" w:after="0"/>
        <w:ind w:hanging="142" w:start="284"/>
        <w:jc w:val="both"/>
        <w:rPr>
          <w:lang w:val="hu-HU"/>
        </w:rPr>
      </w:pPr>
      <w:r>
        <w:rPr>
          <w:lang w:val="hu-HU"/>
        </w:rPr>
        <w:t xml:space="preserve">c) </w:t>
      </w:r>
      <w:r>
        <w:rPr>
          <w:i/>
          <w:iCs/>
          <w:lang w:val="hu-HU"/>
        </w:rPr>
        <w:t>Adatfeldolgozás</w:t>
      </w:r>
      <w:r>
        <w:rPr>
          <w:lang w:val="hu-HU"/>
        </w:rPr>
        <w:t xml:space="preserve">: minden automatikus eljárással vagy anélkül végzett folyamat, vagy minden olyan </w:t>
      </w:r>
      <w:r>
        <w:rPr>
          <w:i/>
          <w:iCs/>
          <w:lang w:val="hu-HU"/>
        </w:rPr>
        <w:t>Személyes adatok</w:t>
      </w:r>
      <w:r>
        <w:rPr>
          <w:lang w:val="hu-HU"/>
        </w:rPr>
        <w:t>kal kapcsolatos eljárások sorozata, mint pl. a gyűjtés, rögzítés, rendszerezés, elrendezés, mentés, állítás, módosítás, leolvasás, lekérdezés, alkalmazás, felfedés átadás, feldolgozás vagy más formában, beállítás, összekötés, korlátozás, törlés vagy megsemmisítés.</w:t>
      </w:r>
    </w:p>
    <w:p>
      <w:pPr>
        <w:pStyle w:val="Normal"/>
        <w:spacing w:before="0" w:after="0"/>
        <w:ind w:hanging="142" w:start="284"/>
        <w:jc w:val="both"/>
        <w:rPr>
          <w:lang w:val="hu-HU"/>
        </w:rPr>
      </w:pPr>
      <w:r>
        <w:rPr>
          <w:lang w:val="hu-HU"/>
        </w:rPr>
        <w:t xml:space="preserve">d) </w:t>
      </w:r>
      <w:r>
        <w:rPr>
          <w:i/>
          <w:iCs/>
          <w:lang w:val="hu-HU"/>
        </w:rPr>
        <w:t>Adatfeldolgozás korlátozása</w:t>
      </w:r>
      <w:r>
        <w:rPr>
          <w:lang w:val="hu-HU"/>
        </w:rPr>
        <w:t xml:space="preserve">: mentett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kijelölése azért, hogy korlátozza a jövőbeli </w:t>
      </w:r>
      <w:r>
        <w:rPr>
          <w:i/>
          <w:iCs/>
          <w:lang w:val="hu-HU"/>
        </w:rPr>
        <w:t>Adatfeldolgozás</w:t>
      </w:r>
      <w:r>
        <w:rPr>
          <w:lang w:val="hu-HU"/>
        </w:rPr>
        <w:t>t.</w:t>
      </w:r>
    </w:p>
    <w:p>
      <w:pPr>
        <w:pStyle w:val="Normal"/>
        <w:spacing w:before="0" w:after="0"/>
        <w:ind w:hanging="142" w:start="284"/>
        <w:jc w:val="both"/>
        <w:rPr>
          <w:lang w:val="hu-HU"/>
        </w:rPr>
      </w:pPr>
      <w:r>
        <w:rPr>
          <w:lang w:val="hu-HU"/>
        </w:rPr>
        <w:t xml:space="preserve">e) </w:t>
      </w:r>
      <w:r>
        <w:rPr>
          <w:i/>
          <w:iCs/>
          <w:lang w:val="hu-HU"/>
        </w:rPr>
        <w:t>Adatkezelő</w:t>
      </w:r>
      <w:r>
        <w:rPr>
          <w:lang w:val="hu-HU"/>
        </w:rPr>
        <w:t xml:space="preserve">: az a természetes vagy jogi személy, hatóság, intézmény, szervezet vagy más hely, amely egyedül vagy másokkal együtt dönt a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</w:t>
      </w:r>
      <w:r>
        <w:rPr>
          <w:i/>
          <w:iCs/>
          <w:lang w:val="hu-HU"/>
        </w:rPr>
        <w:t>Adatfeldolgozás</w:t>
      </w:r>
      <w:r>
        <w:rPr>
          <w:lang w:val="hu-HU"/>
        </w:rPr>
        <w:t xml:space="preserve">ának céljairól és eszközeiről. Ha az </w:t>
      </w:r>
      <w:r>
        <w:rPr>
          <w:i/>
          <w:iCs/>
          <w:lang w:val="hu-HU"/>
        </w:rPr>
        <w:t>Adatfeldolgozás</w:t>
      </w:r>
      <w:r>
        <w:rPr>
          <w:lang w:val="hu-HU"/>
        </w:rPr>
        <w:t xml:space="preserve"> céljait és eszközeit az Európai Unió joga vagy az Európai Unió valamely tagállamának joga írja elő, akkor az </w:t>
      </w:r>
      <w:r>
        <w:rPr>
          <w:i/>
          <w:iCs/>
          <w:lang w:val="hu-HU"/>
        </w:rPr>
        <w:t>Adatkezelő</w:t>
      </w:r>
      <w:r>
        <w:rPr>
          <w:lang w:val="hu-HU"/>
        </w:rPr>
        <w:t>, illetve az általa megnevezett bizonyos kritériumok az Európai Unió joga vagy az illető tagállam joga szerint tervezhetők meg.</w:t>
      </w:r>
    </w:p>
    <w:p>
      <w:pPr>
        <w:pStyle w:val="Normal"/>
        <w:spacing w:before="0" w:after="0"/>
        <w:ind w:hanging="142" w:start="284"/>
        <w:jc w:val="both"/>
        <w:rPr>
          <w:lang w:val="hu-HU"/>
        </w:rPr>
      </w:pPr>
      <w:r>
        <w:rPr>
          <w:lang w:val="hu-HU"/>
        </w:rPr>
        <w:t xml:space="preserve">f) </w:t>
      </w:r>
      <w:r>
        <w:rPr>
          <w:i/>
          <w:iCs/>
          <w:lang w:val="hu-HU"/>
        </w:rPr>
        <w:t>Adatfeldolgozó</w:t>
      </w:r>
      <w:r>
        <w:rPr>
          <w:lang w:val="hu-HU"/>
        </w:rPr>
        <w:t xml:space="preserve">: olyan természetes vagy jogi személy, hatóság, intézmény, szervezet vagy más hely, amely az </w:t>
      </w:r>
      <w:r>
        <w:rPr>
          <w:i/>
          <w:iCs/>
          <w:lang w:val="hu-HU"/>
        </w:rPr>
        <w:t>Adatkezelő</w:t>
      </w:r>
      <w:r>
        <w:rPr>
          <w:lang w:val="hu-HU"/>
        </w:rPr>
        <w:t xml:space="preserve"> megbízásából </w:t>
      </w:r>
      <w:r>
        <w:rPr>
          <w:i/>
          <w:iCs/>
          <w:lang w:val="hu-HU"/>
        </w:rPr>
        <w:t>Személyes adatok Adatfeldolgozás</w:t>
      </w:r>
      <w:r>
        <w:rPr>
          <w:lang w:val="hu-HU"/>
        </w:rPr>
        <w:t>át végzi.</w:t>
      </w:r>
    </w:p>
    <w:p>
      <w:pPr>
        <w:pStyle w:val="Normal"/>
        <w:spacing w:before="0" w:after="0"/>
        <w:ind w:hanging="142" w:start="284"/>
        <w:jc w:val="both"/>
        <w:rPr>
          <w:lang w:val="hu-HU"/>
        </w:rPr>
      </w:pPr>
      <w:r>
        <w:rPr>
          <w:lang w:val="hu-HU"/>
        </w:rPr>
        <w:t xml:space="preserve">g) </w:t>
      </w:r>
      <w:r>
        <w:rPr>
          <w:i/>
          <w:iCs/>
          <w:lang w:val="hu-HU"/>
        </w:rPr>
        <w:t>Címzett</w:t>
      </w:r>
      <w:r>
        <w:rPr>
          <w:lang w:val="hu-HU"/>
        </w:rPr>
        <w:t xml:space="preserve">: olyan természetes vagy jogi személy, hatóság, intézmény, szervezet vagy más hely, aki a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at megkapja, függetlenül attól, hogy ő egy </w:t>
      </w:r>
      <w:r>
        <w:rPr>
          <w:i/>
          <w:iCs/>
          <w:lang w:val="hu-HU"/>
        </w:rPr>
        <w:t>Harmadik fél</w:t>
      </w:r>
      <w:r>
        <w:rPr>
          <w:lang w:val="hu-HU"/>
        </w:rPr>
        <w:t xml:space="preserve">-e vagy sem. Az Európai Unió joga vagy az Európai Unió valamely tagállamának törvényei szerinti, egy bizonyos vizsgálati megbízás keretén belül esetlegesen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hoz hozzájutó hatóságok nem számítanak </w:t>
      </w:r>
      <w:r>
        <w:rPr>
          <w:i/>
          <w:iCs/>
          <w:lang w:val="hu-HU"/>
        </w:rPr>
        <w:t>Címzett</w:t>
      </w:r>
      <w:r>
        <w:rPr>
          <w:lang w:val="hu-HU"/>
        </w:rPr>
        <w:t>nek.</w:t>
      </w:r>
    </w:p>
    <w:p>
      <w:pPr>
        <w:pStyle w:val="Normal"/>
        <w:spacing w:before="0" w:after="0"/>
        <w:ind w:hanging="142" w:start="284"/>
        <w:jc w:val="both"/>
        <w:rPr>
          <w:lang w:val="hu-HU"/>
        </w:rPr>
      </w:pPr>
      <w:r>
        <w:rPr>
          <w:lang w:val="hu-HU"/>
        </w:rPr>
        <w:t xml:space="preserve">h) </w:t>
      </w:r>
      <w:r>
        <w:rPr>
          <w:i/>
          <w:iCs/>
          <w:lang w:val="hu-HU"/>
        </w:rPr>
        <w:t>Harmadik fél</w:t>
      </w:r>
      <w:r>
        <w:rPr>
          <w:lang w:val="hu-HU"/>
        </w:rPr>
        <w:t xml:space="preserve">: természetes vagy jogi személy, hatóság, intézmény, szervezet vagy más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en, az </w:t>
      </w:r>
      <w:r>
        <w:rPr>
          <w:i/>
          <w:iCs/>
          <w:lang w:val="hu-HU"/>
        </w:rPr>
        <w:t>Adatkezelő</w:t>
      </w:r>
      <w:r>
        <w:rPr>
          <w:lang w:val="hu-HU"/>
        </w:rPr>
        <w:t xml:space="preserve">n, </w:t>
      </w:r>
      <w:r>
        <w:rPr>
          <w:i/>
          <w:iCs/>
          <w:lang w:val="hu-HU"/>
        </w:rPr>
        <w:t>Adatfeldolgozó</w:t>
      </w:r>
      <w:r>
        <w:rPr>
          <w:lang w:val="hu-HU"/>
        </w:rPr>
        <w:t xml:space="preserve">n, vagy általuk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</w:t>
      </w:r>
      <w:r>
        <w:rPr>
          <w:i/>
          <w:iCs/>
          <w:lang w:val="hu-HU"/>
        </w:rPr>
        <w:t>Adatfeldolgozás</w:t>
      </w:r>
      <w:r>
        <w:rPr>
          <w:lang w:val="hu-HU"/>
        </w:rPr>
        <w:t>ára közvetlenül feljogosított személyeken kívül.</w:t>
      </w:r>
    </w:p>
    <w:p>
      <w:pPr>
        <w:pStyle w:val="Normal"/>
        <w:ind w:hanging="142" w:start="284"/>
        <w:jc w:val="both"/>
        <w:rPr>
          <w:lang w:val="hu-HU"/>
        </w:rPr>
      </w:pPr>
      <w:r>
        <w:rPr>
          <w:lang w:val="hu-HU"/>
        </w:rPr>
        <w:t xml:space="preserve">i) </w:t>
      </w:r>
      <w:r>
        <w:rPr>
          <w:i/>
          <w:iCs/>
          <w:lang w:val="hu-HU"/>
        </w:rPr>
        <w:t>Hozzájárulás</w:t>
      </w:r>
      <w:r>
        <w:rPr>
          <w:lang w:val="hu-HU"/>
        </w:rPr>
        <w:t xml:space="preserve">: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önkéntesen, megfelelő tájékoztatást követően félreérthetetlen módon leadott, az adott esetre vonatkozó minden olyan szándéknyilatkozat vagy egyéb egyértelmű megerősítő cselekvés formájában tett nyilatkozat, amellyel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nyilatkozza, hogy megértette azt, hogy egyetért az őt érintő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</w:t>
      </w:r>
      <w:r>
        <w:rPr>
          <w:i/>
          <w:iCs/>
          <w:lang w:val="hu-HU"/>
        </w:rPr>
        <w:t>Adatfeldolgozás</w:t>
      </w:r>
      <w:r>
        <w:rPr>
          <w:lang w:val="hu-HU"/>
        </w:rPr>
        <w:t>ával.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Alapvető tényállások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Társaság tiszteletben tartja a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védelméhez fűződő jogot, ennek megfelelően mindent megtesz azért, hogy a lehető legmegfelelőbb, hatályos magyar és nemzetközi jogszabályok szerint végezze tevékenységét,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ek adatainak védelmét szem előtt tartva.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Társaság a </w:t>
      </w:r>
      <w:hyperlink r:id="rId2">
        <w:r>
          <w:rPr>
            <w:rStyle w:val="Hyperlink"/>
            <w:lang w:val="hu-HU"/>
          </w:rPr>
          <w:t>h</w:t>
        </w:r>
        <w:r>
          <w:rPr>
            <w:rStyle w:val="Hyperlink"/>
            <w:rFonts w:eastAsia="Calibri" w:cs="Calibri"/>
            <w:lang w:val="hu-HU"/>
          </w:rPr>
          <w:t>tt</w:t>
        </w:r>
        <w:r>
          <w:rPr>
            <w:rStyle w:val="Hyperlink"/>
            <w:lang w:val="hu-HU"/>
          </w:rPr>
          <w:t>ps://alumni.kszk.bme.hu</w:t>
        </w:r>
      </w:hyperlink>
      <w:r>
        <w:rPr>
          <w:lang w:val="hu-HU"/>
        </w:rPr>
        <w:t xml:space="preserve"> weboldal tulajdonosa. A Társaság a weboldal üzemeltetése és szolgáltatások nyújtása, valamint a Társaság társasági szerződésének mellékletében található </w:t>
      </w:r>
      <w:r>
        <w:rPr>
          <w:rFonts w:cs="Calibri" w:cstheme="minorHAnsi"/>
          <w:caps/>
          <w:lang w:val="hu-HU"/>
        </w:rPr>
        <w:t>csatlakozó nyilatkozat</w:t>
      </w:r>
      <w:r>
        <w:rPr>
          <w:lang w:val="hu-HU"/>
        </w:rPr>
        <w:t xml:space="preserve"> sablon kitöltött változatának érkeztetése során keletkezett adatokat kezeli </w:t>
      </w:r>
      <w:r>
        <w:rPr>
          <w:i/>
          <w:iCs/>
          <w:lang w:val="hu-HU"/>
        </w:rPr>
        <w:t>Adatkezelő</w:t>
      </w:r>
      <w:r>
        <w:rPr>
          <w:lang w:val="hu-HU"/>
        </w:rPr>
        <w:t>ként.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Tájékoztató tárgyi hatálya kiterjed a Társaság minden szervezeti egységénél folytatott valamennyi olyan folyamatra, amely során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kezelése megvalósul. A Tájékoztató időbeli hatálya annak visszavonásig tart. A Társaság fenntartja a jogot a Tájékoztató módosítására, az ezzel kapcsolatos értesítésről a módosított Tájékoztató weboldalon történő közzétételével gondoskodik.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Társaság, mint </w:t>
      </w:r>
      <w:r>
        <w:rPr>
          <w:i/>
          <w:iCs/>
          <w:lang w:val="hu-HU"/>
        </w:rPr>
        <w:t>Adatkezelő</w:t>
      </w:r>
      <w:r>
        <w:rPr>
          <w:lang w:val="hu-HU"/>
        </w:rPr>
        <w:t xml:space="preserve"> számos technikai és szervezeti intézkedést tett a kezelt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lehetőleg teljes védelmének biztosítása érdekében. Ennek ellenére különösen a világhálón keresztül történő adattovábbítások alapvető biztonsági hibákkal rendelkezhetnek, így az abszolút védelem nem garantálható, de a Társaság minden tőle elvárhatót megtesz, hogy a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illetéktelenek kezébe ne kerüljenek, valamint azokat jogellenes célra fel ne használják. Ennek elősegítése érdekében törekszik a lehető legkevesebb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ot kérni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ektől.</w:t>
      </w:r>
    </w:p>
    <w:p>
      <w:pPr>
        <w:pStyle w:val="Normal"/>
        <w:spacing w:before="0" w:after="0"/>
        <w:rPr>
          <w:lang w:val="hu-HU"/>
        </w:rPr>
      </w:pPr>
      <w:r>
        <w:rPr>
          <w:b/>
          <w:bCs/>
          <w:lang w:val="hu-HU"/>
        </w:rPr>
        <w:t xml:space="preserve">Az </w:t>
      </w:r>
      <w:r>
        <w:rPr>
          <w:b/>
          <w:bCs/>
          <w:i/>
          <w:iCs/>
          <w:lang w:val="hu-HU"/>
        </w:rPr>
        <w:t>Adatkezelő</w:t>
      </w:r>
      <w:r>
        <w:rPr>
          <w:b/>
          <w:bCs/>
          <w:lang w:val="hu-HU"/>
        </w:rPr>
        <w:t xml:space="preserve"> neve, címe és egyéb elérhetőségei: </w:t>
      </w:r>
      <w:r>
        <w:rPr>
          <w:lang w:val="hu-HU"/>
        </w:rPr>
        <w:t xml:space="preserve">E-mail: </w:t>
      </w:r>
      <w:hyperlink r:id="rId3">
        <w:r>
          <w:rPr>
            <w:rStyle w:val="Hyperlink"/>
            <w:lang w:val="hu-HU"/>
          </w:rPr>
          <w:t>alumni@kszk.bme.hu</w:t>
        </w:r>
      </w:hyperlink>
      <w:r>
        <w:rPr>
          <w:lang w:val="hu-HU"/>
        </w:rPr>
        <w:t>; Tel: +36 30 855 6747.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Minden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az </w:t>
      </w:r>
      <w:r>
        <w:rPr>
          <w:i/>
          <w:iCs/>
          <w:lang w:val="hu-HU"/>
        </w:rPr>
        <w:t>Adatkezelés</w:t>
      </w:r>
      <w:r>
        <w:rPr>
          <w:lang w:val="hu-HU"/>
        </w:rPr>
        <w:t>t érintő bármilyen kérdés és javaslat esetén bármikor fordulhat a Társasághoz a fent meghatározott elérhetőségeken keresztül.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Automatizált módon (sütik útján)</w:t>
      </w:r>
      <w:r>
        <w:rPr>
          <w:lang w:val="hu-HU"/>
        </w:rPr>
        <w:t xml:space="preserve"> </w:t>
      </w:r>
      <w:r>
        <w:rPr>
          <w:b/>
          <w:bCs/>
          <w:lang w:val="hu-HU"/>
        </w:rPr>
        <w:t>történő adatgyűjtés a Társaság weboldalán: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>A Társaság weboldalának meglátogatása során előfordulhat, hogy sütik formájában információk kerülnek elhelyezésre a látogató személy által használt informatikai eszközön. A sütik olyan kis fájlok, amelyeket egy webszerver küld a böngészőjének, és amelyek a látogató eszközén tárolódnak. Közben az IP-címen kívül a látogató semmilyen személyes adata nem kerül elmentésre. Ezek az információk arra szolgálnak, hogy a Társaság weboldalán tett következő látogatásakor automatikusan újra felismerhető legyen a látogató és megkönnyítse az ő eligazodását. A sütik például azt teszik lehetővé, hogy egy weboldal a látogató érdeklődéséhez legyen igazítható.</w:t>
      </w:r>
    </w:p>
    <w:p>
      <w:pPr>
        <w:pStyle w:val="Normal"/>
        <w:keepNext w:val="true"/>
        <w:spacing w:before="0" w:after="0"/>
        <w:jc w:val="both"/>
        <w:rPr>
          <w:lang w:val="hu-HU"/>
        </w:rPr>
      </w:pPr>
      <w:r>
        <w:rPr>
          <w:lang w:val="hu-HU"/>
        </w:rPr>
        <w:t>A Társaság weboldalának minden egyes látogatása alkalmával technikai okokból automatikusan mentésre kerülnek azok az adatok a szerver naplófájljaiban, amelyeket a látogató böngészője továbbít a weboldalt szolgáltató szerver felé. Ezek az adatok nem meghatározott személyekhez rendelhetők hozzá és a következő összetevőkből állnak:</w:t>
      </w:r>
    </w:p>
    <w:p>
      <w:pPr>
        <w:pStyle w:val="Normal"/>
        <w:numPr>
          <w:ilvl w:val="0"/>
          <w:numId w:val="5"/>
        </w:numPr>
        <w:spacing w:before="0" w:after="0"/>
        <w:rPr>
          <w:lang w:val="hu-HU"/>
        </w:rPr>
      </w:pPr>
      <w:r>
        <w:rPr>
          <w:lang w:val="hu-HU"/>
        </w:rPr>
        <w:t>a használt böngésző típusa/verziója</w:t>
      </w:r>
    </w:p>
    <w:p>
      <w:pPr>
        <w:pStyle w:val="Normal"/>
        <w:numPr>
          <w:ilvl w:val="0"/>
          <w:numId w:val="5"/>
        </w:numPr>
        <w:spacing w:before="0" w:after="0"/>
        <w:rPr>
          <w:lang w:val="hu-HU"/>
        </w:rPr>
      </w:pPr>
      <w:r>
        <w:rPr>
          <w:lang w:val="hu-HU"/>
        </w:rPr>
        <w:t>a hozzáféréssel rendelkező informatikai eszköz által használt operációs rendszer</w:t>
      </w:r>
    </w:p>
    <w:p>
      <w:pPr>
        <w:pStyle w:val="Normal"/>
        <w:numPr>
          <w:ilvl w:val="0"/>
          <w:numId w:val="5"/>
        </w:numPr>
        <w:spacing w:before="0" w:after="0"/>
        <w:rPr>
          <w:lang w:val="hu-HU"/>
        </w:rPr>
      </w:pPr>
      <w:r>
        <w:rPr>
          <w:lang w:val="hu-HU"/>
        </w:rPr>
        <w:t>annak a weboldalnak a címe, ahonnan egy hozzáféréssel rendelkező informatikai eszköz eljut a Társaság weboldalára, egy úgynevezett átirányító URL</w:t>
      </w:r>
    </w:p>
    <w:p>
      <w:pPr>
        <w:pStyle w:val="Normal"/>
        <w:numPr>
          <w:ilvl w:val="0"/>
          <w:numId w:val="5"/>
        </w:numPr>
        <w:spacing w:before="0" w:after="0"/>
        <w:rPr>
          <w:lang w:val="hu-HU"/>
        </w:rPr>
      </w:pPr>
      <w:r>
        <w:rPr>
          <w:lang w:val="hu-HU"/>
        </w:rPr>
        <w:t>azon aloldalak címe, amelyeket egy a Társaság weboldalán lévő hozzáféréssel rendelkező informatikai eszköz vezérel</w:t>
      </w:r>
    </w:p>
    <w:p>
      <w:pPr>
        <w:pStyle w:val="Normal"/>
        <w:numPr>
          <w:ilvl w:val="0"/>
          <w:numId w:val="5"/>
        </w:numPr>
        <w:spacing w:before="0" w:after="0"/>
        <w:rPr>
          <w:lang w:val="hu-HU"/>
        </w:rPr>
      </w:pPr>
      <w:r>
        <w:rPr>
          <w:lang w:val="hu-HU"/>
        </w:rPr>
        <w:t>a weboldalhoz való hozzáférés kelte és ideje</w:t>
      </w:r>
    </w:p>
    <w:p>
      <w:pPr>
        <w:pStyle w:val="Normal"/>
        <w:numPr>
          <w:ilvl w:val="0"/>
          <w:numId w:val="5"/>
        </w:numPr>
        <w:spacing w:before="0" w:after="0"/>
        <w:rPr>
          <w:lang w:val="hu-HU"/>
        </w:rPr>
      </w:pPr>
      <w:r>
        <w:rPr>
          <w:lang w:val="hu-HU"/>
        </w:rPr>
        <w:t>egy internet-protokoll-cím (IP-cím)</w:t>
      </w:r>
    </w:p>
    <w:p>
      <w:pPr>
        <w:pStyle w:val="Normal"/>
        <w:numPr>
          <w:ilvl w:val="0"/>
          <w:numId w:val="5"/>
        </w:numPr>
        <w:spacing w:before="0" w:after="0"/>
        <w:rPr>
          <w:lang w:val="hu-HU"/>
        </w:rPr>
      </w:pPr>
      <w:r>
        <w:rPr>
          <w:lang w:val="hu-HU"/>
        </w:rPr>
        <w:t>a hozzáféréssel rendelkező informatikai eszköz internetszolgáltatójának azonosítója</w:t>
      </w:r>
    </w:p>
    <w:p>
      <w:pPr>
        <w:pStyle w:val="Normal"/>
        <w:numPr>
          <w:ilvl w:val="0"/>
          <w:numId w:val="5"/>
        </w:numPr>
        <w:rPr>
          <w:lang w:val="hu-HU"/>
        </w:rPr>
      </w:pPr>
      <w:r>
        <w:rPr>
          <w:lang w:val="hu-HU"/>
        </w:rPr>
        <w:t>egyéb olyan hasonló adatok és információk, amelyek a veszély elhárítására szolgálnak, ha a Társaság informatikai rendszerét megtámadják.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>Ezekre az adatokra sokszor szükség van például</w:t>
      </w:r>
    </w:p>
    <w:p>
      <w:pPr>
        <w:pStyle w:val="Normal"/>
        <w:numPr>
          <w:ilvl w:val="0"/>
          <w:numId w:val="6"/>
        </w:numPr>
        <w:spacing w:before="0" w:after="0"/>
        <w:rPr>
          <w:lang w:val="hu-HU"/>
        </w:rPr>
      </w:pPr>
      <w:r>
        <w:rPr>
          <w:lang w:val="hu-HU"/>
        </w:rPr>
        <w:t>a Társaság weboldala tartalmainak megfelelő kiadásához, optimalizálásához</w:t>
      </w:r>
    </w:p>
    <w:p>
      <w:pPr>
        <w:pStyle w:val="Normal"/>
        <w:numPr>
          <w:ilvl w:val="0"/>
          <w:numId w:val="6"/>
        </w:numPr>
        <w:spacing w:before="0" w:after="0"/>
        <w:rPr>
          <w:lang w:val="hu-HU"/>
        </w:rPr>
      </w:pPr>
      <w:r>
        <w:rPr>
          <w:lang w:val="hu-HU"/>
        </w:rPr>
        <w:t>a Társaság által használt informatikai rendszerek folyamatos működőképességének és weboldala technikájának biztosításához, valamint</w:t>
      </w:r>
    </w:p>
    <w:p>
      <w:pPr>
        <w:pStyle w:val="Normal"/>
        <w:numPr>
          <w:ilvl w:val="0"/>
          <w:numId w:val="6"/>
        </w:numPr>
        <w:rPr>
          <w:lang w:val="hu-HU"/>
        </w:rPr>
      </w:pPr>
      <w:r>
        <w:rPr>
          <w:lang w:val="hu-HU"/>
        </w:rPr>
        <w:t>a szükséges adatoknak a bűnüldöző szervek számára történő rendelkezésre bocsájtása érdekében kibertámadás esetén.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Ezen anonim módon összegyűjtött adatokat és információkat a Társaság munkatársai statisztikai célzattal, valamint az adatbiztoság céljából értékelhetik ki. A szerver naplófájlok anonim adatai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megadott </w:t>
      </w:r>
      <w:r>
        <w:rPr>
          <w:i/>
          <w:iCs/>
          <w:lang w:val="hu-HU"/>
        </w:rPr>
        <w:t>Személyes adatok</w:t>
      </w:r>
      <w:r>
        <w:rPr>
          <w:lang w:val="hu-HU"/>
        </w:rPr>
        <w:t>tól elkülönítve kerülnek tárolásra.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Külső linkek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</w:t>
      </w:r>
      <w:r>
        <w:rPr>
          <w:i/>
          <w:iCs/>
          <w:lang w:val="hu-HU"/>
        </w:rPr>
        <w:t>Tájékoztató</w:t>
      </w:r>
      <w:r>
        <w:rPr>
          <w:lang w:val="hu-HU"/>
        </w:rPr>
        <w:t xml:space="preserve"> nem terjed ki a Társaság weboldalán található külső linkek által mutatott weboldalakra. A Társaság biztosítja, hogy a weboldalán található linkek a publikálás időpontjában olyan weboldalakra mutatnak, amelyeken a publikálás időpontjában nem találhatók jogellenes tartalmak. A Társaságnak azonban nincs befolyása arra, hogy más weboldal tulajdonos vagy szolgáltató betartja-e az adatkezelési- és biztonsági előírásokat. Ezekről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a másik weboldal tulajdonosának vagy szolgáltatójának weboldalán tájékozódhat az ott rendelkezésre bocsátott adatvédelmi és adatkezelési nyilatkozatokról.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 Társaság weboldalának tárhely-szolgáltatója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>A Társaság weboldalának (</w:t>
      </w:r>
      <w:hyperlink r:id="rId4">
        <w:r>
          <w:rPr>
            <w:rStyle w:val="Hyperlink"/>
            <w:lang w:val="hu-HU"/>
          </w:rPr>
          <w:t>h</w:t>
        </w:r>
        <w:r>
          <w:rPr>
            <w:rStyle w:val="Hyperlink"/>
            <w:rFonts w:eastAsia="Calibri" w:cs="Calibri"/>
            <w:lang w:val="hu-HU"/>
          </w:rPr>
          <w:t>tt</w:t>
        </w:r>
        <w:r>
          <w:rPr>
            <w:rStyle w:val="Hyperlink"/>
            <w:lang w:val="hu-HU"/>
          </w:rPr>
          <w:t>ps://alumni.kszk.bme.hu</w:t>
        </w:r>
      </w:hyperlink>
      <w:r>
        <w:rPr>
          <w:lang w:val="hu-HU"/>
        </w:rPr>
        <w:t>) szolgáltatója a Társaság egyik alapító tagjának üzemeltetésében működő webszerver. A szolgáltató megfelel a GDPR által támasztott követelményeknek.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Nem automatizált módon történő adatgyűjtés a Társaság weboldalán: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 xml:space="preserve">Online adatgyűjtés kizárólag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kifejezett és egyértelmű hozzájárulása alapján történik:</w:t>
      </w:r>
    </w:p>
    <w:p>
      <w:pPr>
        <w:pStyle w:val="Normal"/>
        <w:numPr>
          <w:ilvl w:val="0"/>
          <w:numId w:val="7"/>
        </w:numPr>
        <w:spacing w:before="0" w:after="0"/>
        <w:rPr>
          <w:lang w:val="hu-HU"/>
        </w:rPr>
      </w:pPr>
      <w:r>
        <w:rPr>
          <w:lang w:val="hu-HU"/>
        </w:rPr>
        <w:t>a weboldalon feltüntetett elérhetőségekre küldött elektronikus levél útján, valamint</w:t>
      </w:r>
    </w:p>
    <w:p>
      <w:pPr>
        <w:pStyle w:val="Normal"/>
        <w:numPr>
          <w:ilvl w:val="0"/>
          <w:numId w:val="7"/>
        </w:numPr>
        <w:rPr>
          <w:lang w:val="hu-HU"/>
        </w:rPr>
      </w:pPr>
      <w:r>
        <w:rPr>
          <w:lang w:val="hu-HU"/>
        </w:rPr>
        <w:t xml:space="preserve">a weboldalon található sablonon kért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megadásával.</w:t>
      </w:r>
    </w:p>
    <w:p>
      <w:pPr>
        <w:pStyle w:val="Normal"/>
        <w:keepNext w:val="true"/>
        <w:spacing w:before="0" w:after="0"/>
        <w:rPr>
          <w:lang w:val="hu-HU"/>
        </w:rPr>
      </w:pPr>
      <w:r>
        <w:rPr>
          <w:lang w:val="hu-HU"/>
        </w:rPr>
        <w:t>A Társasághoz tagként történő csatlakozás esetén az alábbi adatok megadása szükséges:</w:t>
      </w:r>
    </w:p>
    <w:p>
      <w:pPr>
        <w:pStyle w:val="Normal"/>
        <w:numPr>
          <w:ilvl w:val="0"/>
          <w:numId w:val="10"/>
        </w:numPr>
        <w:spacing w:before="0" w:after="0"/>
        <w:rPr>
          <w:lang w:val="hu-HU"/>
        </w:rPr>
      </w:pPr>
      <w:r>
        <w:rPr>
          <w:lang w:val="hu-HU"/>
        </w:rPr>
        <w:t>az 1996. évi XX. törvény szerinti természetes személyazonosító adatok (kivéve a „születési családi és utóneve” részt)</w:t>
      </w:r>
    </w:p>
    <w:p>
      <w:pPr>
        <w:pStyle w:val="Normal"/>
        <w:numPr>
          <w:ilvl w:val="0"/>
          <w:numId w:val="10"/>
        </w:numPr>
        <w:spacing w:before="0" w:after="0"/>
        <w:rPr>
          <w:lang w:val="hu-HU"/>
        </w:rPr>
      </w:pPr>
      <w:r>
        <w:rPr>
          <w:lang w:val="hu-HU"/>
        </w:rPr>
        <w:t>lakcím, e-mail cím (címek), mobiltelefonszám</w:t>
      </w:r>
    </w:p>
    <w:p>
      <w:pPr>
        <w:pStyle w:val="Normal"/>
        <w:numPr>
          <w:ilvl w:val="0"/>
          <w:numId w:val="10"/>
        </w:numPr>
        <w:spacing w:before="0" w:after="0"/>
        <w:rPr>
          <w:lang w:val="hu-HU"/>
        </w:rPr>
      </w:pPr>
      <w:r>
        <w:rPr>
          <w:lang w:val="hu-HU"/>
        </w:rPr>
        <w:t>KSZK-ba történt belépés éve</w:t>
      </w:r>
    </w:p>
    <w:p>
      <w:pPr>
        <w:pStyle w:val="Normal"/>
        <w:numPr>
          <w:ilvl w:val="0"/>
          <w:numId w:val="10"/>
        </w:numPr>
        <w:rPr>
          <w:lang w:val="hu-HU"/>
        </w:rPr>
      </w:pPr>
      <w:r>
        <w:rPr>
          <w:lang w:val="hu-HU"/>
        </w:rPr>
        <w:t>nem kötelezően arckép és rövid szöveges bemutatkozó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fent felsorolt adatok gyűjtésének kizárólagos célja közösségépítés és kapcsolattartás, azok nem kerülnek továbbításra </w:t>
      </w:r>
      <w:r>
        <w:rPr>
          <w:i/>
          <w:iCs/>
          <w:lang w:val="hu-HU"/>
        </w:rPr>
        <w:t>Harmadik fél</w:t>
      </w:r>
      <w:r>
        <w:rPr>
          <w:lang w:val="hu-HU"/>
        </w:rPr>
        <w:t xml:space="preserve"> számára.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Hírlevél</w:t>
      </w:r>
    </w:p>
    <w:p>
      <w:pPr>
        <w:pStyle w:val="Normal"/>
        <w:spacing w:before="0" w:after="0"/>
        <w:jc w:val="both"/>
        <w:rPr>
          <w:lang w:val="hu-HU"/>
        </w:rPr>
      </w:pPr>
      <w:r>
        <w:rPr>
          <w:lang w:val="hu-HU"/>
        </w:rPr>
        <w:t xml:space="preserve">A Társaság kizárólag jogszerűen küld híreket és eseményeket tartalmazó elektronikus leveleket azon </w:t>
      </w:r>
      <w:r>
        <w:rPr>
          <w:i/>
          <w:iCs/>
          <w:lang w:val="hu-HU"/>
        </w:rPr>
        <w:t>Érintett személyek</w:t>
      </w:r>
      <w:r>
        <w:rPr>
          <w:lang w:val="hu-HU"/>
        </w:rPr>
        <w:t xml:space="preserve"> számára, akik ehhez hozzájárultak. A Társaság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hozzájárulásának visszavonására és a hírlevélről történő leiratkozásra minden megkeresés esetében egyszerű módon biztosítja a lehetőséget.</w:t>
      </w:r>
    </w:p>
    <w:p>
      <w:pPr>
        <w:pStyle w:val="Normal"/>
        <w:keepNext w:val="true"/>
        <w:spacing w:before="0" w:after="0"/>
        <w:jc w:val="both"/>
        <w:rPr>
          <w:lang w:val="hu-HU"/>
        </w:rPr>
      </w:pPr>
      <w:r>
        <w:rPr>
          <w:lang w:val="hu-HU"/>
        </w:rPr>
        <w:t xml:space="preserve">A hírlevelek vonatkozásában az </w:t>
      </w:r>
      <w:r>
        <w:rPr>
          <w:i/>
          <w:iCs/>
          <w:lang w:val="hu-HU"/>
        </w:rPr>
        <w:t>Adatkezelés</w:t>
      </w:r>
    </w:p>
    <w:p>
      <w:pPr>
        <w:pStyle w:val="ListParagraph"/>
        <w:numPr>
          <w:ilvl w:val="1"/>
          <w:numId w:val="1"/>
        </w:numPr>
        <w:spacing w:before="0" w:after="0"/>
        <w:ind w:hanging="284" w:start="426"/>
        <w:contextualSpacing w:val="false"/>
        <w:jc w:val="both"/>
        <w:rPr>
          <w:lang w:val="hu-HU"/>
        </w:rPr>
      </w:pPr>
      <w:r>
        <w:rPr>
          <w:lang w:val="hu-HU"/>
        </w:rPr>
        <w:t xml:space="preserve">célja a Társaság működésében </w:t>
      </w:r>
      <w:r>
        <w:rPr>
          <w:i/>
          <w:iCs/>
          <w:lang w:val="hu-HU"/>
        </w:rPr>
        <w:t>Érintett személy</w:t>
      </w:r>
      <w:r>
        <w:rPr>
          <w:lang w:val="hu-HU"/>
        </w:rPr>
        <w:t>ek számára releváns eseményekről és lehetőségekről történő tájékoztatás;</w:t>
      </w:r>
    </w:p>
    <w:p>
      <w:pPr>
        <w:pStyle w:val="ListParagraph"/>
        <w:numPr>
          <w:ilvl w:val="1"/>
          <w:numId w:val="1"/>
        </w:numPr>
        <w:spacing w:before="0" w:after="0"/>
        <w:ind w:hanging="284" w:start="426"/>
        <w:contextualSpacing w:val="false"/>
        <w:jc w:val="both"/>
        <w:rPr>
          <w:lang w:val="hu-HU"/>
        </w:rPr>
      </w:pPr>
      <w:r>
        <w:rPr>
          <w:lang w:val="hu-HU"/>
        </w:rPr>
        <w:t xml:space="preserve">jogalapja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önkéntes hozzájárulása [GDPR 6. cikk (1) bek. a) pont].</w:t>
      </w:r>
    </w:p>
    <w:p>
      <w:pPr>
        <w:pStyle w:val="ListParagraph"/>
        <w:numPr>
          <w:ilvl w:val="1"/>
          <w:numId w:val="1"/>
        </w:numPr>
        <w:ind w:hanging="284" w:start="426"/>
        <w:jc w:val="both"/>
        <w:rPr>
          <w:lang w:val="hu-HU"/>
        </w:rPr>
      </w:pPr>
      <w:r>
        <w:rPr>
          <w:lang w:val="hu-HU"/>
        </w:rPr>
        <w:t xml:space="preserve">időtartama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törlési kérelméig, vagy az hozzájárulása visszavonásáig tart.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 xml:space="preserve">A </w:t>
      </w:r>
      <w:r>
        <w:rPr>
          <w:b/>
          <w:bCs/>
          <w:i/>
          <w:iCs/>
          <w:lang w:val="hu-HU"/>
        </w:rPr>
        <w:t>Személyes adatok</w:t>
      </w:r>
      <w:r>
        <w:rPr>
          <w:b/>
          <w:bCs/>
          <w:lang w:val="hu-HU"/>
        </w:rPr>
        <w:t xml:space="preserve"> kezelésére vonatkozó általános tudnivalók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at a Társaság nem értékesíti és nem adja tovább </w:t>
      </w:r>
      <w:r>
        <w:rPr>
          <w:i/>
          <w:iCs/>
          <w:lang w:val="hu-HU"/>
        </w:rPr>
        <w:t>Harmadik fél</w:t>
      </w:r>
      <w:r>
        <w:rPr>
          <w:lang w:val="hu-HU"/>
        </w:rPr>
        <w:t xml:space="preserve"> számára, hacsak az utóbbi nem szükséges valamilyen kívánt szolgáltatás nyújtásához. A tájékoztatásra jogosultsággal rendelkező hatóságok vagy állami intézmények számára történő adat-átadás csak akkor történik meg, ha ezt törvény írja elő, vagy erre bírói döntés kötelezi a Társaságot. Ilyen esetekben csak a minimálisan szükséges mennyiségű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kerülnek továbbadásra és a Társaság a jogszabályok által előírt módon tájékoztatja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t.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Adatkezelés</w:t>
      </w:r>
      <w:r>
        <w:rPr>
          <w:lang w:val="hu-HU"/>
        </w:rPr>
        <w:t xml:space="preserve"> céljának megszűnése után a Társaság maradéktalanul törli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összes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át, amennyiben ezen időpontban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nem rendelkezik máshogy </w:t>
      </w:r>
      <w:r>
        <w:rPr>
          <w:i/>
          <w:iCs/>
          <w:lang w:val="hu-HU"/>
        </w:rPr>
        <w:t>Személyes adat</w:t>
      </w:r>
      <w:r>
        <w:rPr>
          <w:lang w:val="hu-HU"/>
        </w:rPr>
        <w:t>ainak kezeléséről egyértelmű jóváhagyás formájában.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a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ainak gyűjtésére, mentésre és használatra való hozzájárulását bármikor, indokolás nélkül visszavonhatja. Az adatvédelmi kérések, általános javaslatok vagy panaszok esetén a Társaság a fent meghatározott elérhetőségeken áll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rendelkezésére.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jogszerű kezelését a Társaság munkatársai és külső szolgáltatók </w:t>
      </w:r>
      <w:r>
        <w:rPr>
          <w:rFonts w:cs="Calibri"/>
          <w:lang w:val="hu-HU"/>
        </w:rPr>
        <w:t>–</w:t>
      </w:r>
      <w:r>
        <w:rPr>
          <w:lang w:val="hu-HU"/>
        </w:rPr>
        <w:t xml:space="preserve"> többek között </w:t>
      </w:r>
      <w:r>
        <w:rPr>
          <w:rFonts w:cs="Calibri"/>
          <w:lang w:val="hu-HU"/>
        </w:rPr>
        <w:t>–</w:t>
      </w:r>
      <w:r>
        <w:rPr>
          <w:lang w:val="hu-HU"/>
        </w:rPr>
        <w:t xml:space="preserve"> oktatások, aktív kommunikáció, az adatvédelmi titoktartásra vonatkozó kötelezettség és az adatvédelmi dokumentumok betartása formájában valósítja meg.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>A Társaság által az adatvédelem, IT- és információbiztonság területén alkalmazott technikai, szervezeti és fizikai intézkedések, beleértve a logikai berendezéseket is, a sérülések, károk és az adatokhoz való illetéktelen hozzáférés elleni védelemre, valamint a bizalmasság, elérhetőség és integritás biztosítására szolgálnak.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Társaság a </w:t>
      </w:r>
      <w:r>
        <w:rPr>
          <w:i/>
          <w:iCs/>
          <w:lang w:val="hu-HU"/>
        </w:rPr>
        <w:t>Személyes adatok</w:t>
      </w:r>
      <w:r>
        <w:rPr>
          <w:lang w:val="hu-HU"/>
        </w:rPr>
        <w:t>at helyi adathordozón, illetve a GDPR-nek megfelelő szolgáltatók által biztosított, védett környezetben tárolja.</w:t>
      </w:r>
    </w:p>
    <w:p>
      <w:pPr>
        <w:pStyle w:val="Normal"/>
        <w:rPr>
          <w:b/>
          <w:bCs/>
          <w:lang w:val="hu-HU"/>
        </w:rPr>
      </w:pPr>
      <w:r>
        <w:rPr>
          <w:b/>
          <w:bCs/>
          <w:lang w:val="hu-HU"/>
        </w:rPr>
        <w:t xml:space="preserve">Az </w:t>
      </w:r>
      <w:r>
        <w:rPr>
          <w:b/>
          <w:bCs/>
          <w:i/>
          <w:iCs/>
          <w:lang w:val="hu-HU"/>
        </w:rPr>
        <w:t>Adatkezelés</w:t>
      </w:r>
      <w:r>
        <w:rPr>
          <w:b/>
          <w:bCs/>
          <w:lang w:val="hu-HU"/>
        </w:rPr>
        <w:t>sel kapcsolatos jogok és érvényesítésük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 tájékoztatás kéréshez és a hozzáféréshez való jog</w:t>
      </w:r>
    </w:p>
    <w:p>
      <w:pPr>
        <w:pStyle w:val="Normal"/>
        <w:spacing w:before="0" w:after="0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írásban tájékoztatást kérhet a Társaságtól, hogy a Társaság tájékoztassa: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lang w:val="hu-HU"/>
        </w:rPr>
      </w:pPr>
      <w:r>
        <w:rPr>
          <w:lang w:val="hu-HU"/>
        </w:rPr>
        <w:t>milyen személyes adatait,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lang w:val="hu-HU"/>
        </w:rPr>
      </w:pPr>
      <w:r>
        <w:rPr>
          <w:lang w:val="hu-HU"/>
        </w:rPr>
        <w:t>milyen jogalapon,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lang w:val="hu-HU"/>
        </w:rPr>
      </w:pPr>
      <w:r>
        <w:rPr>
          <w:lang w:val="hu-HU"/>
        </w:rPr>
        <w:t>milyen adatkezelési cél miatt,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lang w:val="hu-HU"/>
        </w:rPr>
      </w:pPr>
      <w:r>
        <w:rPr>
          <w:lang w:val="hu-HU"/>
        </w:rPr>
        <w:t>milyen forrásból,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lang w:val="hu-HU"/>
        </w:rPr>
      </w:pPr>
      <w:r>
        <w:rPr>
          <w:lang w:val="hu-HU"/>
        </w:rPr>
        <w:t>mennyi ideig kezeli,</w:t>
      </w:r>
    </w:p>
    <w:p>
      <w:pPr>
        <w:pStyle w:val="ListParagraph"/>
        <w:numPr>
          <w:ilvl w:val="0"/>
          <w:numId w:val="8"/>
        </w:numPr>
        <w:spacing w:before="0" w:after="120"/>
        <w:ind w:hanging="357" w:start="714"/>
        <w:contextualSpacing/>
        <w:jc w:val="both"/>
        <w:rPr>
          <w:lang w:val="hu-HU"/>
        </w:rPr>
      </w:pPr>
      <w:r>
        <w:rPr>
          <w:lang w:val="hu-HU"/>
        </w:rPr>
        <w:t xml:space="preserve">valamint, hogy a Társaság kinek, mikor, milyen jogszabály alapján, mely személyes adataihoz biztosított hozzáférést vagy kinek továbbította a </w:t>
      </w:r>
      <w:r>
        <w:rPr>
          <w:i/>
          <w:iCs/>
          <w:lang w:val="hu-HU"/>
        </w:rPr>
        <w:t>Személyes adat</w:t>
      </w:r>
      <w:r>
        <w:rPr>
          <w:lang w:val="hu-HU"/>
        </w:rPr>
        <w:t>ait.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Társaság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kérelmét legfeljebb 30 (harminc) napon belül,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megadott elérhetőségre küldött elektronikus vagy postai levélben teljesíti. A Társaság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től a kérelem teljesítését megelőzően, annak tartalmának pontosítását, a kérelmezett információk, illetve az </w:t>
      </w:r>
      <w:r>
        <w:rPr>
          <w:i/>
          <w:iCs/>
          <w:lang w:val="hu-HU"/>
        </w:rPr>
        <w:t>Adatkezelés</w:t>
      </w:r>
      <w:r>
        <w:rPr>
          <w:lang w:val="hu-HU"/>
        </w:rPr>
        <w:t>i tevékenységek pontos megjelölését kérheti.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Amennyiben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hozzáférési joga hátrányosan érinti mások jogait és szabadságait, így különösen mások üzleti titkait vagy szellemi tulajdonát, a Társaság jogosult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kérelmének teljesítését szükséges és arányos mértékben megtagadni.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Amennyiben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a tájékoztatást több példányban kéri, a Társaság jogosult a többletpéldányok elkészítésének adminisztratív költségeivel arányos és ésszerű mértékű díjat felszámítani. Amennyiben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megjelölt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at a Társaság nem kezeli, úgy erről is köteles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t írásban tájékoztatni.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 helyesbítéshez való jog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írásban kérheti, hogy a Társaság módosítsa azt a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át, mely pontatlan, helytelen vagy hiányos. A Társaság ebben az esetben a megjelölt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at haladéktalanul, de legkésőbb 10 (tíz) napon belül pontosítja vagy helyesbíti, illetve, ha az az </w:t>
      </w:r>
      <w:r>
        <w:rPr>
          <w:i/>
          <w:iCs/>
          <w:lang w:val="hu-HU"/>
        </w:rPr>
        <w:t>Adatkezelés</w:t>
      </w:r>
      <w:r>
        <w:rPr>
          <w:lang w:val="hu-HU"/>
        </w:rPr>
        <w:t xml:space="preserve"> céljával összeegyeztethető,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rendelkezésére bocsátott további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kal vagy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a kezelt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hoz fűzött nyilatkozattal kiegészíti. A Társaság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t erről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megadott elérhetőségre küldött elektronikus vagy postai levélben értesíti.</w:t>
      </w:r>
    </w:p>
    <w:p>
      <w:pPr>
        <w:pStyle w:val="Normal"/>
        <w:spacing w:before="0" w:after="0"/>
        <w:jc w:val="both"/>
        <w:rPr>
          <w:lang w:val="hu-HU"/>
        </w:rPr>
      </w:pPr>
      <w:r>
        <w:rPr>
          <w:lang w:val="hu-HU"/>
        </w:rPr>
        <w:t>A Társaság abban az esetben mentesül a helyesbítésre vonatkozó kötelezettség alól, ha</w:t>
      </w:r>
    </w:p>
    <w:p>
      <w:pPr>
        <w:pStyle w:val="ListParagraph"/>
        <w:numPr>
          <w:ilvl w:val="0"/>
          <w:numId w:val="3"/>
        </w:numPr>
        <w:spacing w:before="0" w:after="0"/>
        <w:ind w:hanging="426" w:start="426"/>
        <w:contextualSpacing/>
        <w:jc w:val="both"/>
        <w:rPr>
          <w:lang w:val="hu-HU"/>
        </w:rPr>
      </w:pPr>
      <w:r>
        <w:rPr>
          <w:lang w:val="hu-HU"/>
        </w:rPr>
        <w:t xml:space="preserve">a pontos, helytálló, illetve hiánytalan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nem állnak rendelkezésére és azokat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sem bocsátja a Társaság rendelkezésére, vagy</w:t>
      </w:r>
    </w:p>
    <w:p>
      <w:pPr>
        <w:pStyle w:val="ListParagraph"/>
        <w:numPr>
          <w:ilvl w:val="0"/>
          <w:numId w:val="3"/>
        </w:numPr>
        <w:ind w:hanging="426" w:start="426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a Társaság rendelkezésére bocsátott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valódisága kétséget kizáróan nem állapítható meg.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 törléshez való jog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írásban kérheti a Társaságtól a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ainak a törlését.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a törléshez kapcsolódó kérelmét írásban köteles előterjeszteni és köteles megjelölni, hogy mely </w:t>
      </w:r>
      <w:r>
        <w:rPr>
          <w:i/>
          <w:iCs/>
          <w:lang w:val="hu-HU"/>
        </w:rPr>
        <w:t>Személyes adat</w:t>
      </w:r>
      <w:r>
        <w:rPr>
          <w:lang w:val="hu-HU"/>
        </w:rPr>
        <w:t>ot milyen okból kíván töröltetni.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törlési kérelmet a Társaság abban az esetben utasítja el, ha valamely jogszabály a Társaságot a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további tárolására kötelezi. Amennyiben nincs ilyen kötelezettsége a Társaságnak, úgy a Társaság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kérelmét legfeljebb 30 (harminc) napon belül teljesíti, és erről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t az általa megadott elérhetőségre küldött elektronikus vagy postai levélben értesíti.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 zároláshoz való jog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írásban kérheti, hogy a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ait a Társaság zárolja. A zárolás addig tart, amíg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megjelölt indok szükségessé teszi az adatok tárolását. Az adatok zárolását kérheti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például abban az esetben, ha úgy gondolja, hogy a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át a Társaság jogellenesen kezelte, azonban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által kezdeményezett hatósági vagy bírósági eljárás érdekében szükséges az, hogy a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át a Társaság ne törölje. Ebben az esetben a hatóság vagy a bíróság megkereséséig a Társaság tovább tárolja a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ot, ezt követően törli azokat, és erről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t az általa megadott elérhetőségre küldött elektronikus vagy postai levélben értesíti.</w:t>
      </w:r>
    </w:p>
    <w:p>
      <w:pPr>
        <w:pStyle w:val="Normal"/>
        <w:keepNext w:val="true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Az adatkezelés korlátozásához való jog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írásban kérheti, hogy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ainak kezelését a Társaság korlátozza. A korlátozás időtartama alatt a korlátozással érintett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okkal a Társaság, illetve az általa megbízott vagy rendelkezése alapján eljáró </w:t>
      </w:r>
      <w:r>
        <w:rPr>
          <w:i/>
          <w:iCs/>
          <w:lang w:val="hu-HU"/>
        </w:rPr>
        <w:t>Adatfeldolgozó</w:t>
      </w:r>
      <w:r>
        <w:rPr>
          <w:lang w:val="hu-HU"/>
        </w:rPr>
        <w:t xml:space="preserve"> a tároláson túl egyéb </w:t>
      </w:r>
      <w:r>
        <w:rPr>
          <w:i/>
          <w:iCs/>
          <w:lang w:val="hu-HU"/>
        </w:rPr>
        <w:t>Adatkezelés</w:t>
      </w:r>
      <w:r>
        <w:rPr>
          <w:lang w:val="hu-HU"/>
        </w:rPr>
        <w:t xml:space="preserve">i műveletet kizárólag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jogos érdekének érvényesítése céljából vagy jogszabályban meghatározottak szerint végezhet.</w:t>
      </w:r>
    </w:p>
    <w:p>
      <w:pPr>
        <w:pStyle w:val="Normal"/>
        <w:spacing w:before="0" w:after="0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Adatkezelés</w:t>
      </w:r>
      <w:r>
        <w:rPr>
          <w:lang w:val="hu-HU"/>
        </w:rPr>
        <w:t xml:space="preserve"> korlátozását akkor és annyi ideig kérheti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, ha</w:t>
      </w:r>
    </w:p>
    <w:p>
      <w:pPr>
        <w:pStyle w:val="ListParagraph"/>
        <w:numPr>
          <w:ilvl w:val="0"/>
          <w:numId w:val="2"/>
        </w:numPr>
        <w:ind w:hanging="426" w:start="426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vitatja a Társaság, illetve az </w:t>
      </w:r>
      <w:r>
        <w:rPr>
          <w:i/>
          <w:iCs/>
          <w:lang w:val="hu-HU"/>
        </w:rPr>
        <w:t>Adatfeldolgozó</w:t>
      </w:r>
      <w:r>
        <w:rPr>
          <w:lang w:val="hu-HU"/>
        </w:rPr>
        <w:t xml:space="preserve"> által kezelt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pontosságát, helytállóságát vagy hiánytalanságát, és a kezelt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 pontossága, helytállósága vagy hiánytalansága kétséget kizáróan nem állapítható meg (a fennálló kétség tisztázásának időtartamára) vagy</w:t>
      </w:r>
    </w:p>
    <w:p>
      <w:pPr>
        <w:pStyle w:val="ListParagraph"/>
        <w:numPr>
          <w:ilvl w:val="0"/>
          <w:numId w:val="2"/>
        </w:numPr>
        <w:ind w:hanging="426" w:start="426"/>
        <w:jc w:val="both"/>
        <w:rPr>
          <w:lang w:val="hu-HU"/>
        </w:rPr>
      </w:pPr>
      <w:r>
        <w:rPr>
          <w:lang w:val="hu-HU"/>
        </w:rPr>
        <w:t xml:space="preserve">az adatok törlésének lenne helye, de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írásbeli nyilatkozata vagy a Társaság rendelkezésére álló információk alapján megalapozottan feltételezhető, hogy az adatok törlése sértené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jogos érdekeit (a törlés mellőzését megalapozó jogos érdek fennállásának időtartamára) vagy</w:t>
      </w:r>
    </w:p>
    <w:p>
      <w:pPr>
        <w:pStyle w:val="ListParagraph"/>
        <w:numPr>
          <w:ilvl w:val="0"/>
          <w:numId w:val="2"/>
        </w:numPr>
        <w:ind w:hanging="426" w:start="426"/>
        <w:jc w:val="both"/>
        <w:rPr>
          <w:lang w:val="hu-HU"/>
        </w:rPr>
      </w:pPr>
      <w:r>
        <w:rPr>
          <w:lang w:val="hu-HU"/>
        </w:rPr>
        <w:t>az adatok törlésének lenne helye, de közfeladatot ellátó szerv által vagy részvételével végzett eljárások során az adatok bizonyítékként való megőrzése szükséges (a vizsgálat vagy eljárás lezárásáig).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Korlátozás esetén a </w:t>
      </w:r>
      <w:r>
        <w:rPr>
          <w:i/>
          <w:iCs/>
          <w:lang w:val="hu-HU"/>
        </w:rPr>
        <w:t>Személyes adatok</w:t>
      </w:r>
      <w:r>
        <w:rPr>
          <w:lang w:val="hu-HU"/>
        </w:rPr>
        <w:t xml:space="preserve">at a tárolás kivételével csak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hozzájárulásával vagy jogi igények előterjesztéséhez, érvényesítéséhez vagy védelméhez, vagy más természetes vagy jogi személy jogainak védelme érdekében vagy uniós, illetve valamely európai uniós tagállam fontos közérdekből lehet kezelni. A Társaság az </w:t>
      </w:r>
      <w:r>
        <w:rPr>
          <w:i/>
          <w:iCs/>
          <w:lang w:val="hu-HU"/>
        </w:rPr>
        <w:t>Adatkezelés</w:t>
      </w:r>
      <w:r>
        <w:rPr>
          <w:lang w:val="hu-HU"/>
        </w:rPr>
        <w:t xml:space="preserve"> korlátozásának feloldásáról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t előzetesen tájékoztatja.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Társaság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korlátozásához való jogának érvényesítésére irányuló kérelmének teljesítését követően haladéktalanul tájékoztatja azon személyeket, akikkel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a </w:t>
      </w:r>
      <w:r>
        <w:rPr>
          <w:i/>
          <w:iCs/>
          <w:lang w:val="hu-HU"/>
        </w:rPr>
        <w:t>Személyes adat</w:t>
      </w:r>
      <w:r>
        <w:rPr>
          <w:lang w:val="hu-HU"/>
        </w:rPr>
        <w:t xml:space="preserve">ait közölte, feltéve, hogy az nem lehetetlen vagy nem igényel a Társaságtól aránytalan erőfeszítést.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t kérésére a Társaság tájékoztatja ezen címzettekről.</w:t>
      </w:r>
    </w:p>
    <w:p>
      <w:pPr>
        <w:pStyle w:val="Normal"/>
        <w:keepNext w:val="true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 jogorvoslathoz való jog</w:t>
      </w:r>
    </w:p>
    <w:p>
      <w:pPr>
        <w:pStyle w:val="Normal"/>
        <w:spacing w:before="0" w:after="0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jogosult az alábbi lehetőségek szerint jogorvoslattal élni:</w:t>
      </w:r>
    </w:p>
    <w:p>
      <w:pPr>
        <w:pStyle w:val="ListParagraph"/>
        <w:numPr>
          <w:ilvl w:val="0"/>
          <w:numId w:val="4"/>
        </w:numPr>
        <w:ind w:hanging="426" w:start="426"/>
        <w:jc w:val="both"/>
        <w:rPr>
          <w:lang w:val="hu-HU"/>
        </w:rPr>
      </w:pPr>
      <w:r>
        <w:rPr>
          <w:u w:val="single"/>
          <w:lang w:val="hu-HU"/>
        </w:rPr>
        <w:t>Társasággal történő vitarendezés:</w:t>
      </w:r>
      <w:r>
        <w:rPr>
          <w:lang w:val="hu-HU"/>
        </w:rPr>
        <w:t xml:space="preserve"> az Érintett személy minden tiltakozását, kérelmét előterjesztheti a Társaságnál, szóban vagy írásban, személyesen, elektronikus, vagy postai úton a fent meghatározott elérhetőségen;</w:t>
      </w:r>
    </w:p>
    <w:p>
      <w:pPr>
        <w:pStyle w:val="ListParagraph"/>
        <w:numPr>
          <w:ilvl w:val="0"/>
          <w:numId w:val="4"/>
        </w:numPr>
        <w:ind w:hanging="426" w:start="426"/>
        <w:jc w:val="both"/>
        <w:rPr>
          <w:lang w:val="hu-HU"/>
        </w:rPr>
      </w:pPr>
      <w:r>
        <w:rPr>
          <w:u w:val="single"/>
          <w:lang w:val="hu-HU"/>
        </w:rPr>
        <w:t>Panasztételhez való jog:</w:t>
      </w:r>
      <w:r>
        <w:rPr>
          <w:lang w:val="hu-HU"/>
        </w:rPr>
        <w:t xml:space="preserve"> ha az Érintett személynek a Társasággal nem sikerül rendeznie a vitás ügyét, vagy úgy ítéli meg, hogy jogsérelem következett be (vagy ennek közvetlen veszélye fennáll) a Személyes adatait illetően, akkor az Érintett személy jogosult a Nemzeti Adatvédelmi és Információszabadság Hatóságnál bejelentést tenni.</w:t>
      </w:r>
    </w:p>
    <w:p>
      <w:pPr>
        <w:pStyle w:val="ListParagraph"/>
        <w:numPr>
          <w:ilvl w:val="0"/>
          <w:numId w:val="4"/>
        </w:numPr>
        <w:ind w:hanging="426" w:start="426"/>
        <w:jc w:val="both"/>
        <w:rPr>
          <w:lang w:val="hu-HU"/>
        </w:rPr>
      </w:pPr>
      <w:r>
        <w:rPr>
          <w:u w:val="single"/>
          <w:lang w:val="hu-HU"/>
        </w:rPr>
        <w:t>A bírósághoz fordulás joga (keresetindítási jog):</w:t>
      </w:r>
      <w:r>
        <w:rPr>
          <w:lang w:val="hu-HU"/>
        </w:rPr>
        <w:t xml:space="preserve">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 xml:space="preserve"> jogosult </w:t>
      </w:r>
      <w:r>
        <w:rPr>
          <w:rFonts w:cs="Calibri"/>
          <w:lang w:val="hu-HU"/>
        </w:rPr>
        <w:t>–</w:t>
      </w:r>
      <w:r>
        <w:rPr>
          <w:lang w:val="hu-HU"/>
        </w:rPr>
        <w:t xml:space="preserve"> a panaszt</w:t>
      </w:r>
      <w:r>
        <w:rPr>
          <w:rFonts w:cs="Calibri"/>
          <w:lang w:val="hu-HU"/>
        </w:rPr>
        <w:t>é</w:t>
      </w:r>
      <w:r>
        <w:rPr>
          <w:lang w:val="hu-HU"/>
        </w:rPr>
        <w:t>teli jog</w:t>
      </w:r>
      <w:r>
        <w:rPr>
          <w:rFonts w:cs="Calibri"/>
          <w:lang w:val="hu-HU"/>
        </w:rPr>
        <w:t>á</w:t>
      </w:r>
      <w:r>
        <w:rPr>
          <w:lang w:val="hu-HU"/>
        </w:rPr>
        <w:t>t</w:t>
      </w:r>
      <w:r>
        <w:rPr>
          <w:rFonts w:cs="Calibri"/>
          <w:lang w:val="hu-HU"/>
        </w:rPr>
        <w:t>ó</w:t>
      </w:r>
      <w:r>
        <w:rPr>
          <w:lang w:val="hu-HU"/>
        </w:rPr>
        <w:t>l f</w:t>
      </w:r>
      <w:r>
        <w:rPr>
          <w:rFonts w:cs="Calibri"/>
          <w:lang w:val="hu-HU"/>
        </w:rPr>
        <w:t>ü</w:t>
      </w:r>
      <w:r>
        <w:rPr>
          <w:lang w:val="hu-HU"/>
        </w:rPr>
        <w:t>ggetlen</w:t>
      </w:r>
      <w:r>
        <w:rPr>
          <w:rFonts w:cs="Calibri"/>
          <w:lang w:val="hu-HU"/>
        </w:rPr>
        <w:t>ü</w:t>
      </w:r>
      <w:r>
        <w:rPr>
          <w:lang w:val="hu-HU"/>
        </w:rPr>
        <w:t xml:space="preserve">l </w:t>
      </w:r>
      <w:r>
        <w:rPr>
          <w:rFonts w:cs="Calibri"/>
          <w:lang w:val="hu-HU"/>
        </w:rPr>
        <w:t>–</w:t>
      </w:r>
      <w:r>
        <w:rPr>
          <w:lang w:val="hu-HU"/>
        </w:rPr>
        <w:t xml:space="preserve"> b</w:t>
      </w:r>
      <w:r>
        <w:rPr>
          <w:rFonts w:cs="Calibri"/>
          <w:lang w:val="hu-HU"/>
        </w:rPr>
        <w:t>í</w:t>
      </w:r>
      <w:r>
        <w:rPr>
          <w:lang w:val="hu-HU"/>
        </w:rPr>
        <w:t>r</w:t>
      </w:r>
      <w:r>
        <w:rPr>
          <w:rFonts w:cs="Calibri"/>
          <w:lang w:val="hu-HU"/>
        </w:rPr>
        <w:t>ó</w:t>
      </w:r>
      <w:r>
        <w:rPr>
          <w:lang w:val="hu-HU"/>
        </w:rPr>
        <w:t>s</w:t>
      </w:r>
      <w:r>
        <w:rPr>
          <w:rFonts w:cs="Calibri"/>
          <w:lang w:val="hu-HU"/>
        </w:rPr>
        <w:t>á</w:t>
      </w:r>
      <w:r>
        <w:rPr>
          <w:lang w:val="hu-HU"/>
        </w:rPr>
        <w:t xml:space="preserve">ghoz fordulni, ha a </w:t>
      </w:r>
      <w:r>
        <w:rPr>
          <w:i/>
          <w:iCs/>
          <w:lang w:val="hu-HU"/>
        </w:rPr>
        <w:t>Szem</w:t>
      </w:r>
      <w:r>
        <w:rPr>
          <w:rFonts w:cs="Calibri"/>
          <w:i/>
          <w:iCs/>
          <w:lang w:val="hu-HU"/>
        </w:rPr>
        <w:t>é</w:t>
      </w:r>
      <w:r>
        <w:rPr>
          <w:i/>
          <w:iCs/>
          <w:lang w:val="hu-HU"/>
        </w:rPr>
        <w:t>lyes adat</w:t>
      </w:r>
      <w:r>
        <w:rPr>
          <w:lang w:val="hu-HU"/>
        </w:rPr>
        <w:t>ainak kezel</w:t>
      </w:r>
      <w:r>
        <w:rPr>
          <w:rFonts w:cs="Calibri"/>
          <w:lang w:val="hu-HU"/>
        </w:rPr>
        <w:t>é</w:t>
      </w:r>
      <w:r>
        <w:rPr>
          <w:lang w:val="hu-HU"/>
        </w:rPr>
        <w:t>se sor</w:t>
      </w:r>
      <w:r>
        <w:rPr>
          <w:rFonts w:cs="Calibri"/>
          <w:lang w:val="hu-HU"/>
        </w:rPr>
        <w:t>á</w:t>
      </w:r>
      <w:r>
        <w:rPr>
          <w:lang w:val="hu-HU"/>
        </w:rPr>
        <w:t>n megs</w:t>
      </w:r>
      <w:r>
        <w:rPr>
          <w:rFonts w:cs="Calibri"/>
          <w:lang w:val="hu-HU"/>
        </w:rPr>
        <w:t>é</w:t>
      </w:r>
      <w:r>
        <w:rPr>
          <w:lang w:val="hu-HU"/>
        </w:rPr>
        <w:t>rtett</w:t>
      </w:r>
      <w:r>
        <w:rPr>
          <w:rFonts w:cs="Calibri"/>
          <w:lang w:val="hu-HU"/>
        </w:rPr>
        <w:t>é</w:t>
      </w:r>
      <w:r>
        <w:rPr>
          <w:lang w:val="hu-HU"/>
        </w:rPr>
        <w:t xml:space="preserve">k a GDPR, illetve az Infotv. </w:t>
      </w:r>
      <w:r>
        <w:rPr>
          <w:rFonts w:cs="Calibri"/>
          <w:lang w:val="hu-HU"/>
        </w:rPr>
        <w:t>á</w:t>
      </w:r>
      <w:r>
        <w:rPr>
          <w:lang w:val="hu-HU"/>
        </w:rPr>
        <w:t>ltal biztos</w:t>
      </w:r>
      <w:r>
        <w:rPr>
          <w:rFonts w:cs="Calibri"/>
          <w:lang w:val="hu-HU"/>
        </w:rPr>
        <w:t>í</w:t>
      </w:r>
      <w:r>
        <w:rPr>
          <w:lang w:val="hu-HU"/>
        </w:rPr>
        <w:t>tott jogait. A T</w:t>
      </w:r>
      <w:r>
        <w:rPr>
          <w:rFonts w:cs="Calibri"/>
          <w:lang w:val="hu-HU"/>
        </w:rPr>
        <w:t>á</w:t>
      </w:r>
      <w:r>
        <w:rPr>
          <w:lang w:val="hu-HU"/>
        </w:rPr>
        <w:t>rsas</w:t>
      </w:r>
      <w:r>
        <w:rPr>
          <w:rFonts w:cs="Calibri"/>
          <w:lang w:val="hu-HU"/>
        </w:rPr>
        <w:t>á</w:t>
      </w:r>
      <w:r>
        <w:rPr>
          <w:lang w:val="hu-HU"/>
        </w:rPr>
        <w:t>ggal, mint belf</w:t>
      </w:r>
      <w:r>
        <w:rPr>
          <w:rFonts w:cs="Calibri"/>
          <w:lang w:val="hu-HU"/>
        </w:rPr>
        <w:t>ö</w:t>
      </w:r>
      <w:r>
        <w:rPr>
          <w:lang w:val="hu-HU"/>
        </w:rPr>
        <w:t>ldi tev</w:t>
      </w:r>
      <w:r>
        <w:rPr>
          <w:rFonts w:cs="Calibri"/>
          <w:lang w:val="hu-HU"/>
        </w:rPr>
        <w:t>é</w:t>
      </w:r>
      <w:r>
        <w:rPr>
          <w:lang w:val="hu-HU"/>
        </w:rPr>
        <w:t>kenys</w:t>
      </w:r>
      <w:r>
        <w:rPr>
          <w:rFonts w:cs="Calibri"/>
          <w:lang w:val="hu-HU"/>
        </w:rPr>
        <w:t>é</w:t>
      </w:r>
      <w:r>
        <w:rPr>
          <w:lang w:val="hu-HU"/>
        </w:rPr>
        <w:t>gi hellyel rendelkez</w:t>
      </w:r>
      <w:r>
        <w:rPr>
          <w:rFonts w:cs="Calibri"/>
          <w:lang w:val="hu-HU"/>
        </w:rPr>
        <w:t>ő</w:t>
      </w:r>
      <w:r>
        <w:rPr>
          <w:lang w:val="hu-HU"/>
        </w:rPr>
        <w:t xml:space="preserve"> </w:t>
      </w:r>
      <w:r>
        <w:rPr>
          <w:i/>
          <w:iCs/>
          <w:lang w:val="hu-HU"/>
        </w:rPr>
        <w:t>Adatkezel</w:t>
      </w:r>
      <w:r>
        <w:rPr>
          <w:rFonts w:cs="Calibri"/>
          <w:i/>
          <w:iCs/>
          <w:lang w:val="hu-HU"/>
        </w:rPr>
        <w:t>ő</w:t>
      </w:r>
      <w:r>
        <w:rPr>
          <w:lang w:val="hu-HU"/>
        </w:rPr>
        <w:t>vel szemben magyar b</w:t>
      </w:r>
      <w:r>
        <w:rPr>
          <w:rFonts w:cs="Calibri"/>
          <w:lang w:val="hu-HU"/>
        </w:rPr>
        <w:t>í</w:t>
      </w:r>
      <w:r>
        <w:rPr>
          <w:lang w:val="hu-HU"/>
        </w:rPr>
        <w:t>r</w:t>
      </w:r>
      <w:r>
        <w:rPr>
          <w:rFonts w:cs="Calibri"/>
          <w:lang w:val="hu-HU"/>
        </w:rPr>
        <w:t>ó</w:t>
      </w:r>
      <w:r>
        <w:rPr>
          <w:lang w:val="hu-HU"/>
        </w:rPr>
        <w:t>s</w:t>
      </w:r>
      <w:r>
        <w:rPr>
          <w:rFonts w:cs="Calibri"/>
          <w:lang w:val="hu-HU"/>
        </w:rPr>
        <w:t>á</w:t>
      </w:r>
      <w:r>
        <w:rPr>
          <w:lang w:val="hu-HU"/>
        </w:rPr>
        <w:t>g el</w:t>
      </w:r>
      <w:r>
        <w:rPr>
          <w:rFonts w:cs="Calibri"/>
          <w:lang w:val="hu-HU"/>
        </w:rPr>
        <w:t>ő</w:t>
      </w:r>
      <w:r>
        <w:rPr>
          <w:lang w:val="hu-HU"/>
        </w:rPr>
        <w:t>tt ind</w:t>
      </w:r>
      <w:r>
        <w:rPr>
          <w:rFonts w:cs="Calibri"/>
          <w:lang w:val="hu-HU"/>
        </w:rPr>
        <w:t>í</w:t>
      </w:r>
      <w:r>
        <w:rPr>
          <w:lang w:val="hu-HU"/>
        </w:rPr>
        <w:t>that</w:t>
      </w:r>
      <w:r>
        <w:rPr>
          <w:rFonts w:cs="Calibri"/>
          <w:lang w:val="hu-HU"/>
        </w:rPr>
        <w:t>ó</w:t>
      </w:r>
      <w:r>
        <w:rPr>
          <w:lang w:val="hu-HU"/>
        </w:rPr>
        <w:t xml:space="preserve"> per.</w:t>
      </w:r>
    </w:p>
    <w:p>
      <w:pPr>
        <w:pStyle w:val="Normal"/>
        <w:keepNext w:val="true"/>
        <w:spacing w:before="0" w:after="0"/>
        <w:rPr>
          <w:lang w:val="hu-HU"/>
        </w:rPr>
      </w:pPr>
      <w:r>
        <w:rPr>
          <w:lang w:val="hu-HU"/>
        </w:rPr>
        <w:t>A Nemzeti Adatvédelmi és Információszabadság Hatóság elérhetőségei:</w:t>
      </w:r>
    </w:p>
    <w:p>
      <w:pPr>
        <w:pStyle w:val="ListParagraph"/>
        <w:keepNext w:val="true"/>
        <w:numPr>
          <w:ilvl w:val="0"/>
          <w:numId w:val="9"/>
        </w:numPr>
        <w:spacing w:before="0" w:after="0"/>
        <w:contextualSpacing/>
        <w:rPr>
          <w:lang w:val="hu-HU"/>
        </w:rPr>
      </w:pPr>
      <w:r>
        <w:rPr>
          <w:lang w:val="hu-HU"/>
        </w:rPr>
        <w:t>székhely: 1125 Budapest, Szilágyi Erzsébet fasor 22/c.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lang w:val="hu-HU"/>
        </w:rPr>
      </w:pPr>
      <w:r>
        <w:rPr>
          <w:lang w:val="hu-HU"/>
        </w:rPr>
        <w:t>levelezési cím: 1530 Budapest, Pf. 5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lang w:val="hu-HU"/>
        </w:rPr>
      </w:pPr>
      <w:r>
        <w:rPr>
          <w:lang w:val="hu-HU"/>
        </w:rPr>
        <w:t>telefon: +36 (1) 3911400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lang w:val="hu-HU"/>
        </w:rPr>
      </w:pPr>
      <w:r>
        <w:rPr>
          <w:lang w:val="hu-HU"/>
        </w:rPr>
        <w:t>Telefax: +36 (1) 3911410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>
          <w:lang w:val="hu-HU"/>
        </w:rPr>
      </w:pPr>
      <w:r>
        <w:rPr>
          <w:lang w:val="hu-HU"/>
        </w:rPr>
        <w:t xml:space="preserve">e-mail: </w:t>
      </w:r>
      <w:hyperlink r:id="rId5">
        <w:r>
          <w:rPr>
            <w:rStyle w:val="Hyperlink"/>
            <w:lang w:val="hu-HU"/>
          </w:rPr>
          <w:t>ugyfelszolgalat@naih.hu</w:t>
        </w:r>
      </w:hyperlink>
    </w:p>
    <w:p>
      <w:pPr>
        <w:pStyle w:val="ListParagraph"/>
        <w:numPr>
          <w:ilvl w:val="0"/>
          <w:numId w:val="9"/>
        </w:numPr>
        <w:rPr>
          <w:lang w:val="hu-HU"/>
        </w:rPr>
      </w:pPr>
      <w:r>
        <w:rPr>
          <w:lang w:val="hu-HU"/>
        </w:rPr>
        <w:t xml:space="preserve">weboldal: </w:t>
      </w:r>
      <w:hyperlink r:id="rId6">
        <w:r>
          <w:rPr>
            <w:rStyle w:val="Hyperlink"/>
            <w:lang w:val="hu-HU"/>
          </w:rPr>
          <w:t>https://naih.hu</w:t>
        </w:r>
      </w:hyperlink>
      <w:r>
        <w:rPr>
          <w:lang w:val="hu-HU"/>
        </w:rPr>
        <w:t xml:space="preserve"> </w:t>
      </w:r>
    </w:p>
    <w:p>
      <w:pPr>
        <w:pStyle w:val="Normal"/>
        <w:spacing w:before="0" w:after="0"/>
        <w:rPr>
          <w:b/>
          <w:bCs/>
          <w:lang w:val="hu-HU"/>
        </w:rPr>
      </w:pPr>
      <w:r>
        <w:rPr>
          <w:b/>
          <w:bCs/>
          <w:lang w:val="hu-HU"/>
        </w:rPr>
        <w:t>Az adatvédelmi gyakorlat módosításai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A Társaság fenntartja magának a jogot arra, hogy az adatvédelmi gyakorlatait módosítsa azért, hogy adott esetben a hatályos vonatkozó törvényekhez, illetve előírásokhoz tudja illeszteni őket, vagy, hogy ezek jobban megfeleljenek az </w:t>
      </w:r>
      <w:r>
        <w:rPr>
          <w:i/>
          <w:iCs/>
          <w:lang w:val="hu-HU"/>
        </w:rPr>
        <w:t>Érintett személy</w:t>
      </w:r>
      <w:r>
        <w:rPr>
          <w:lang w:val="hu-HU"/>
        </w:rPr>
        <w:t>ek igényeinek. A Társaság az adatvédelmi gyakorlatainak lehetséges módosításait a weboldalán hozza nyilvánosságra.</w:t>
      </w:r>
    </w:p>
    <w:p>
      <w:pPr>
        <w:pStyle w:val="Normal"/>
        <w:rPr>
          <w:lang w:val="hu-HU"/>
        </w:rPr>
      </w:pPr>
      <w:r>
        <w:rPr>
          <w:lang w:val="hu-HU"/>
        </w:rPr>
        <w:t>A Tájékoztató utolsó frissítése: 2025. március 3.</w:t>
      </w:r>
    </w:p>
    <w:p>
      <w:pPr>
        <w:pStyle w:val="Normal"/>
        <w:spacing w:before="0" w:after="160"/>
        <w:rPr>
          <w:lang w:val="hu-HU"/>
        </w:rPr>
      </w:pPr>
      <w:r>
        <w:rPr>
          <w:lang w:val="hu-HU"/>
        </w:rPr>
      </w:r>
    </w:p>
    <w:sectPr>
      <w:footerReference w:type="even" r:id="rId7"/>
      <w:footerReference w:type="default" r:id="rId8"/>
      <w:footerReference w:type="first" r:id="rId9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 Light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8299563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8299563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5"/>
      <w:numFmt w:val="bullet"/>
      <w:lvlText w:val="–"/>
      <w:lvlJc w:val="start"/>
      <w:pPr>
        <w:tabs>
          <w:tab w:val="num" w:pos="0"/>
        </w:tabs>
        <w:ind w:start="1440" w:hanging="360"/>
      </w:pPr>
      <w:rPr>
        <w:rFonts w:ascii="Calibri" w:hAnsi="Calibri" w:cs="Calibri" w:hint="default"/>
        <w:rFonts w:eastAsiaTheme="minorHAnsi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5"/>
      <w:numFmt w:val="bullet"/>
      <w:lvlText w:val="–"/>
      <w:lvlJc w:val="start"/>
      <w:pPr>
        <w:tabs>
          <w:tab w:val="num" w:pos="0"/>
        </w:tabs>
        <w:ind w:start="1440" w:hanging="360"/>
      </w:pPr>
      <w:rPr>
        <w:rFonts w:ascii="Calibri" w:hAnsi="Calibri" w:cs="Calibri" w:hint="default"/>
        <w:rFonts w:eastAsiaTheme="minorHAnsi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6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Cmsor1Char"/>
    <w:uiPriority w:val="9"/>
    <w:qFormat/>
    <w:rsid w:val="00bd759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Cmsor2Char"/>
    <w:uiPriority w:val="9"/>
    <w:semiHidden/>
    <w:unhideWhenUsed/>
    <w:qFormat/>
    <w:rsid w:val="00bd759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Cmsor3Char"/>
    <w:uiPriority w:val="9"/>
    <w:semiHidden/>
    <w:unhideWhenUsed/>
    <w:qFormat/>
    <w:rsid w:val="00bd759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Cmsor4Char"/>
    <w:uiPriority w:val="9"/>
    <w:semiHidden/>
    <w:unhideWhenUsed/>
    <w:qFormat/>
    <w:rsid w:val="00bd759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Cmsor5Char"/>
    <w:uiPriority w:val="9"/>
    <w:semiHidden/>
    <w:unhideWhenUsed/>
    <w:qFormat/>
    <w:rsid w:val="00bd759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Cmsor6Char"/>
    <w:uiPriority w:val="9"/>
    <w:semiHidden/>
    <w:unhideWhenUsed/>
    <w:qFormat/>
    <w:rsid w:val="00bd759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Cmsor7Char"/>
    <w:uiPriority w:val="9"/>
    <w:semiHidden/>
    <w:unhideWhenUsed/>
    <w:qFormat/>
    <w:rsid w:val="00bd759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Cmsor8Char"/>
    <w:uiPriority w:val="9"/>
    <w:semiHidden/>
    <w:unhideWhenUsed/>
    <w:qFormat/>
    <w:rsid w:val="00bd759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Cmsor9Char"/>
    <w:uiPriority w:val="9"/>
    <w:semiHidden/>
    <w:unhideWhenUsed/>
    <w:qFormat/>
    <w:rsid w:val="00bd759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msor1Char" w:customStyle="1">
    <w:name w:val="Címsor 1 Char"/>
    <w:basedOn w:val="DefaultParagraphFont"/>
    <w:link w:val="Heading1"/>
    <w:uiPriority w:val="9"/>
    <w:qFormat/>
    <w:rsid w:val="00bd759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Cmsor2Char" w:customStyle="1">
    <w:name w:val="Címsor 2 Char"/>
    <w:basedOn w:val="DefaultParagraphFont"/>
    <w:link w:val="Heading2"/>
    <w:uiPriority w:val="9"/>
    <w:semiHidden/>
    <w:qFormat/>
    <w:rsid w:val="00bd759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Cmsor3Char" w:customStyle="1">
    <w:name w:val="Címsor 3 Char"/>
    <w:basedOn w:val="DefaultParagraphFont"/>
    <w:link w:val="Heading3"/>
    <w:uiPriority w:val="9"/>
    <w:semiHidden/>
    <w:qFormat/>
    <w:rsid w:val="00bd759e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Cmsor4Char" w:customStyle="1">
    <w:name w:val="Címsor 4 Char"/>
    <w:basedOn w:val="DefaultParagraphFont"/>
    <w:link w:val="Heading4"/>
    <w:uiPriority w:val="9"/>
    <w:semiHidden/>
    <w:qFormat/>
    <w:rsid w:val="00bd759e"/>
    <w:rPr>
      <w:rFonts w:eastAsia="" w:cs="" w:cstheme="majorBidi" w:eastAsiaTheme="majorEastAsia"/>
      <w:i/>
      <w:iCs/>
      <w:color w:themeColor="accent1" w:themeShade="bf" w:val="2F5496"/>
    </w:rPr>
  </w:style>
  <w:style w:type="character" w:styleId="Cmsor5Char" w:customStyle="1">
    <w:name w:val="Címsor 5 Char"/>
    <w:basedOn w:val="DefaultParagraphFont"/>
    <w:link w:val="Heading5"/>
    <w:uiPriority w:val="9"/>
    <w:semiHidden/>
    <w:qFormat/>
    <w:rsid w:val="00bd759e"/>
    <w:rPr>
      <w:rFonts w:eastAsia="" w:cs="" w:cstheme="majorBidi" w:eastAsiaTheme="majorEastAsia"/>
      <w:color w:themeColor="accent1" w:themeShade="bf" w:val="2F5496"/>
    </w:rPr>
  </w:style>
  <w:style w:type="character" w:styleId="Cmsor6Char" w:customStyle="1">
    <w:name w:val="Címsor 6 Char"/>
    <w:basedOn w:val="DefaultParagraphFont"/>
    <w:link w:val="Heading6"/>
    <w:uiPriority w:val="9"/>
    <w:semiHidden/>
    <w:qFormat/>
    <w:rsid w:val="00bd759e"/>
    <w:rPr>
      <w:rFonts w:eastAsia="" w:cs="" w:cstheme="majorBidi" w:eastAsiaTheme="majorEastAsia"/>
      <w:i/>
      <w:iCs/>
      <w:color w:themeColor="text1" w:themeTint="a6" w:val="595959"/>
    </w:rPr>
  </w:style>
  <w:style w:type="character" w:styleId="Cmsor7Char" w:customStyle="1">
    <w:name w:val="Címsor 7 Char"/>
    <w:basedOn w:val="DefaultParagraphFont"/>
    <w:link w:val="Heading7"/>
    <w:uiPriority w:val="9"/>
    <w:semiHidden/>
    <w:qFormat/>
    <w:rsid w:val="00bd759e"/>
    <w:rPr>
      <w:rFonts w:eastAsia="" w:cs="" w:cstheme="majorBidi" w:eastAsiaTheme="majorEastAsia"/>
      <w:color w:themeColor="text1" w:themeTint="a6" w:val="595959"/>
    </w:rPr>
  </w:style>
  <w:style w:type="character" w:styleId="Cmsor8Char" w:customStyle="1">
    <w:name w:val="Címsor 8 Char"/>
    <w:basedOn w:val="DefaultParagraphFont"/>
    <w:link w:val="Heading8"/>
    <w:uiPriority w:val="9"/>
    <w:semiHidden/>
    <w:qFormat/>
    <w:rsid w:val="00bd759e"/>
    <w:rPr>
      <w:rFonts w:eastAsia="" w:cs="" w:cstheme="majorBidi" w:eastAsiaTheme="majorEastAsia"/>
      <w:i/>
      <w:iCs/>
      <w:color w:themeColor="text1" w:themeTint="d8" w:val="272727"/>
    </w:rPr>
  </w:style>
  <w:style w:type="character" w:styleId="Cmsor9Char" w:customStyle="1">
    <w:name w:val="Címsor 9 Char"/>
    <w:basedOn w:val="DefaultParagraphFont"/>
    <w:link w:val="Heading9"/>
    <w:uiPriority w:val="9"/>
    <w:semiHidden/>
    <w:qFormat/>
    <w:rsid w:val="00bd759e"/>
    <w:rPr>
      <w:rFonts w:eastAsia="" w:cs="" w:cstheme="majorBidi" w:eastAsiaTheme="majorEastAsia"/>
      <w:color w:themeColor="text1" w:themeTint="d8" w:val="272727"/>
    </w:rPr>
  </w:style>
  <w:style w:type="character" w:styleId="CmChar" w:customStyle="1">
    <w:name w:val="Cím Char"/>
    <w:basedOn w:val="DefaultParagraphFont"/>
    <w:link w:val="Title"/>
    <w:uiPriority w:val="10"/>
    <w:qFormat/>
    <w:rsid w:val="00bd759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cmChar" w:customStyle="1">
    <w:name w:val="Alcím Char"/>
    <w:basedOn w:val="DefaultParagraphFont"/>
    <w:link w:val="Subtitle"/>
    <w:uiPriority w:val="11"/>
    <w:qFormat/>
    <w:rsid w:val="00bd759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IdzetChar" w:customStyle="1">
    <w:name w:val="Idézet Char"/>
    <w:basedOn w:val="DefaultParagraphFont"/>
    <w:link w:val="Quote"/>
    <w:uiPriority w:val="29"/>
    <w:qFormat/>
    <w:rsid w:val="00bd759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d759e"/>
    <w:rPr>
      <w:i/>
      <w:iCs/>
      <w:color w:themeColor="accent1" w:themeShade="bf" w:val="2F5496"/>
    </w:rPr>
  </w:style>
  <w:style w:type="character" w:styleId="KiemeltidzetChar" w:customStyle="1">
    <w:name w:val="Kiemelt idézet Char"/>
    <w:basedOn w:val="DefaultParagraphFont"/>
    <w:link w:val="IntenseQuote"/>
    <w:uiPriority w:val="30"/>
    <w:qFormat/>
    <w:rsid w:val="00bd759e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bd759e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942f1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42f1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d7003"/>
    <w:rPr>
      <w:color w:themeColor="followedHyperlink" w:val="954F72"/>
      <w:u w:val="single"/>
    </w:rPr>
  </w:style>
  <w:style w:type="character" w:styleId="lfejChar" w:customStyle="1">
    <w:name w:val="Élőfej Char"/>
    <w:basedOn w:val="DefaultParagraphFont"/>
    <w:link w:val="Header"/>
    <w:uiPriority w:val="99"/>
    <w:qFormat/>
    <w:rsid w:val="003740ef"/>
    <w:rPr/>
  </w:style>
  <w:style w:type="character" w:styleId="llbChar" w:customStyle="1">
    <w:name w:val="Élőláb Char"/>
    <w:basedOn w:val="DefaultParagraphFont"/>
    <w:link w:val="Footer"/>
    <w:uiPriority w:val="99"/>
    <w:qFormat/>
    <w:rsid w:val="003740ef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beration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CmChar"/>
    <w:uiPriority w:val="10"/>
    <w:qFormat/>
    <w:rsid w:val="00bd759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cmChar"/>
    <w:uiPriority w:val="11"/>
    <w:qFormat/>
    <w:rsid w:val="00bd759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IdzetChar"/>
    <w:uiPriority w:val="29"/>
    <w:qFormat/>
    <w:rsid w:val="00bd759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bd759e"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KiemeltidzetChar"/>
    <w:uiPriority w:val="30"/>
    <w:qFormat/>
    <w:rsid w:val="00bd7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2F549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3740e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3740e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umni.kszk.bme.hu/" TargetMode="External"/><Relationship Id="rId3" Type="http://schemas.openxmlformats.org/officeDocument/2006/relationships/hyperlink" Target="mailto:alumni@kszk.bme.hu" TargetMode="External"/><Relationship Id="rId4" Type="http://schemas.openxmlformats.org/officeDocument/2006/relationships/hyperlink" Target="https://alumni.kszk.bme.hu/" TargetMode="External"/><Relationship Id="rId5" Type="http://schemas.openxmlformats.org/officeDocument/2006/relationships/hyperlink" Target="mailto:ugyfelszolgalat@naih.hu" TargetMode="External"/><Relationship Id="rId6" Type="http://schemas.openxmlformats.org/officeDocument/2006/relationships/hyperlink" Target="https://naih.hu/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Application>LibreOffice/24.2.7.2$Linux_X86_64 LibreOffice_project/420$Build-2</Application>
  <AppVersion>15.0000</AppVersion>
  <Pages>7</Pages>
  <Words>2512</Words>
  <Characters>17558</Characters>
  <CharactersWithSpaces>19926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2025-03-03T12:26:00Z</dcterms:created>
  <dc:creator>Mark Vinkovits</dc:creator>
  <dc:description/>
  <dc:language>en-US</dc:language>
  <cp:lastModifiedBy>Tóth József</cp:lastModifiedBy>
  <dcterms:modified xsi:type="dcterms:W3CDTF">2025-03-04T20:36:00Z</dcterms:modified>
  <cp:revision>287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